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CA7" w:rsidP="00FA6C0C" w:rsidRDefault="007C5CA7" w14:paraId="7AB0E3CB" w14:textId="365F4F51">
      <w:pPr>
        <w:pStyle w:val="DCJContinue"/>
        <w:tabs>
          <w:tab w:val="left" w:pos="1985"/>
        </w:tabs>
      </w:pPr>
      <w:r>
        <w:t>IN THE SUPREME COURT</w:t>
      </w:r>
    </w:p>
    <w:p w:rsidR="007C5CA7" w:rsidP="00FA6C0C" w:rsidRDefault="007C5CA7" w14:paraId="6F1FCDD1" w14:textId="77777777">
      <w:pPr>
        <w:pStyle w:val="DCJContinue"/>
        <w:tabs>
          <w:tab w:val="left" w:pos="1985"/>
        </w:tabs>
      </w:pPr>
      <w:r>
        <w:t>OF NEW SOUTH WALES</w:t>
      </w:r>
    </w:p>
    <w:p w:rsidR="007C5CA7" w:rsidP="00FA6C0C" w:rsidRDefault="007C5CA7" w14:paraId="3227BA7F" w14:textId="77777777">
      <w:pPr>
        <w:pStyle w:val="DCJContinue"/>
        <w:tabs>
          <w:tab w:val="left" w:pos="1985"/>
        </w:tabs>
      </w:pPr>
      <w:r>
        <w:t>EQUITY DIVISION</w:t>
      </w:r>
    </w:p>
    <w:p w:rsidR="007C5CA7" w:rsidP="00FA6C0C" w:rsidRDefault="007C5CA7" w14:paraId="392A5F72" w14:textId="77777777">
      <w:pPr>
        <w:pStyle w:val="DCJContinue"/>
        <w:tabs>
          <w:tab w:val="left" w:pos="1985"/>
        </w:tabs>
      </w:pPr>
    </w:p>
    <w:p w:rsidR="007C5CA7" w:rsidP="00FA6C0C" w:rsidRDefault="007C5CA7" w14:paraId="299C72EE" w14:textId="4F60CD93">
      <w:pPr>
        <w:pStyle w:val="DCJContinue"/>
        <w:tabs>
          <w:tab w:val="left" w:pos="1985"/>
        </w:tabs>
      </w:pPr>
      <w:r>
        <w:t>BLACK J</w:t>
      </w:r>
    </w:p>
    <w:p w:rsidR="00081D05" w:rsidP="00FA6C0C" w:rsidRDefault="00081D05" w14:paraId="26BDEEBC" w14:textId="77777777">
      <w:pPr>
        <w:pStyle w:val="DCJContinue"/>
        <w:tabs>
          <w:tab w:val="left" w:pos="1985"/>
        </w:tabs>
      </w:pPr>
    </w:p>
    <w:p w:rsidR="007C5CA7" w:rsidP="00081D05" w:rsidRDefault="00081D05" w14:paraId="65FCF7EC" w14:textId="52578E64">
      <w:pPr>
        <w:pStyle w:val="DCJContinue"/>
        <w:tabs>
          <w:tab w:val="left" w:pos="1985"/>
        </w:tabs>
      </w:pPr>
      <w:r>
        <w:t>THURSDAY 5 MARCH 2026</w:t>
      </w:r>
    </w:p>
    <w:p w:rsidR="007C5CA7" w:rsidP="00FA6C0C" w:rsidRDefault="007C5CA7" w14:paraId="34C010D8" w14:textId="77777777">
      <w:pPr>
        <w:pStyle w:val="DCJContinue"/>
        <w:tabs>
          <w:tab w:val="left" w:pos="1985"/>
        </w:tabs>
      </w:pPr>
    </w:p>
    <w:p w:rsidRPr="007C5CA7" w:rsidR="007C5CA7" w:rsidP="007C5CA7" w:rsidRDefault="007C5CA7" w14:paraId="4FF7A5AA" w14:textId="070EC0C9">
      <w:pPr>
        <w:pStyle w:val="DCJContinue"/>
        <w:tabs>
          <w:tab w:val="left" w:pos="1985"/>
        </w:tabs>
        <w:rPr>
          <w:b/>
          <w:bCs/>
        </w:rPr>
      </w:pPr>
      <w:r w:rsidRPr="007C5CA7">
        <w:rPr>
          <w:b/>
          <w:bCs/>
        </w:rPr>
        <w:t>2025/00300503</w:t>
      </w:r>
      <w:r>
        <w:rPr>
          <w:b/>
          <w:bCs/>
        </w:rPr>
        <w:t xml:space="preserve">  </w:t>
      </w:r>
      <w:r w:rsidRPr="007C5CA7">
        <w:rPr>
          <w:b/>
          <w:bCs/>
        </w:rPr>
        <w:t>-</w:t>
      </w:r>
      <w:r>
        <w:rPr>
          <w:b/>
          <w:bCs/>
        </w:rPr>
        <w:t xml:space="preserve">  </w:t>
      </w:r>
      <w:r w:rsidRPr="007C5CA7">
        <w:rPr>
          <w:b/>
          <w:bCs/>
        </w:rPr>
        <w:t>IN THE MATTER OF TAHMOOR COAL PTY LIMITED</w:t>
      </w:r>
    </w:p>
    <w:p w:rsidRPr="007C5CA7" w:rsidR="007C5CA7" w:rsidP="007C5CA7" w:rsidRDefault="007C5CA7" w14:paraId="6A9B5A19" w14:textId="22112A5B">
      <w:pPr>
        <w:pStyle w:val="DCJContinue"/>
        <w:tabs>
          <w:tab w:val="left" w:pos="1985"/>
        </w:tabs>
        <w:rPr>
          <w:b/>
          <w:bCs/>
        </w:rPr>
      </w:pPr>
      <w:r w:rsidRPr="007C5CA7">
        <w:rPr>
          <w:b/>
          <w:bCs/>
        </w:rPr>
        <w:t>2026/00062876</w:t>
      </w:r>
      <w:r>
        <w:rPr>
          <w:b/>
          <w:bCs/>
        </w:rPr>
        <w:t xml:space="preserve">  </w:t>
      </w:r>
      <w:r w:rsidRPr="007C5CA7">
        <w:rPr>
          <w:b/>
          <w:bCs/>
        </w:rPr>
        <w:t>-</w:t>
      </w:r>
      <w:r>
        <w:rPr>
          <w:b/>
          <w:bCs/>
        </w:rPr>
        <w:t xml:space="preserve">  </w:t>
      </w:r>
      <w:r w:rsidRPr="007C5CA7">
        <w:rPr>
          <w:b/>
          <w:bCs/>
        </w:rPr>
        <w:t xml:space="preserve">IN THE MATTER OF TAHMOOR COAL PTY LIMITED </w:t>
      </w:r>
    </w:p>
    <w:p w:rsidR="007C5CA7" w:rsidP="007C5CA7" w:rsidRDefault="007C5CA7" w14:paraId="586CA51E" w14:textId="64DC6E23">
      <w:pPr>
        <w:pStyle w:val="DCJContinue"/>
        <w:tabs>
          <w:tab w:val="left" w:pos="1985"/>
        </w:tabs>
        <w:rPr>
          <w:b/>
          <w:bCs/>
        </w:rPr>
      </w:pPr>
      <w:r w:rsidRPr="007C5CA7">
        <w:rPr>
          <w:b/>
          <w:bCs/>
        </w:rPr>
        <w:t>(ADMINISTRATORS APPOINTED)</w:t>
      </w:r>
    </w:p>
    <w:p w:rsidR="007C5CA7" w:rsidP="007C5CA7" w:rsidRDefault="007C5CA7" w14:paraId="59D0AE38" w14:textId="77777777">
      <w:pPr>
        <w:pStyle w:val="DCJContinue"/>
        <w:tabs>
          <w:tab w:val="left" w:pos="1985"/>
        </w:tabs>
      </w:pPr>
    </w:p>
    <w:p w:rsidR="007C5CA7" w:rsidP="007C5CA7" w:rsidRDefault="007C5CA7" w14:paraId="7702B3FC" w14:textId="0EE15D3C">
      <w:pPr>
        <w:pStyle w:val="DCJContinue"/>
      </w:pPr>
      <w:r>
        <w:t>Mr C Withers SC for the Plaintiff</w:t>
      </w:r>
    </w:p>
    <w:p w:rsidR="007C5CA7" w:rsidP="007C5CA7" w:rsidRDefault="007C5CA7" w14:paraId="3DBFD47E" w14:textId="2ADEA4E3">
      <w:pPr>
        <w:pStyle w:val="DCJContinue"/>
      </w:pPr>
      <w:r>
        <w:t>Mr D Sulan SC for the Defendant</w:t>
      </w:r>
    </w:p>
    <w:p w:rsidR="007C5CA7" w:rsidP="007C5CA7" w:rsidRDefault="007C5CA7" w14:paraId="0347A8B0" w14:textId="3687F48B">
      <w:pPr>
        <w:pStyle w:val="DCJContinue"/>
      </w:pPr>
      <w:r>
        <w:t xml:space="preserve">Mr J Hynes for the LPMA </w:t>
      </w:r>
    </w:p>
    <w:p w:rsidR="007C5CA7" w:rsidP="007C5CA7" w:rsidRDefault="007C5CA7" w14:paraId="6F1F2347" w14:textId="77777777">
      <w:pPr>
        <w:pStyle w:val="DCJContinue"/>
      </w:pPr>
      <w:r>
        <w:t>Mr F Assaf for Clydesdale Engineering Ltd</w:t>
      </w:r>
    </w:p>
    <w:p w:rsidR="007C5CA7" w:rsidP="007C5CA7" w:rsidRDefault="007C5CA7" w14:paraId="1899559B" w14:textId="6D168ABD">
      <w:pPr>
        <w:pStyle w:val="DCJContinue"/>
      </w:pPr>
      <w:r>
        <w:t xml:space="preserve">Mr E Styles for CS Gas </w:t>
      </w:r>
    </w:p>
    <w:p w:rsidR="007C5CA7" w:rsidP="007C5CA7" w:rsidRDefault="007C5CA7" w14:paraId="4D75DA9F" w14:textId="5EE322CF">
      <w:pPr>
        <w:pStyle w:val="DCJContinue"/>
      </w:pPr>
      <w:r>
        <w:t xml:space="preserve">Ms E Stracey for Eickhoff </w:t>
      </w:r>
    </w:p>
    <w:p w:rsidR="007C5CA7" w:rsidP="007C5CA7" w:rsidRDefault="007C5CA7" w14:paraId="3D50F242" w14:textId="7531FE9F">
      <w:pPr>
        <w:pStyle w:val="DCJContinue"/>
      </w:pPr>
      <w:r>
        <w:t xml:space="preserve">Mr A Trichardt for Waratah Engineering and HBT </w:t>
      </w:r>
    </w:p>
    <w:p w:rsidR="007C5CA7" w:rsidP="007C5CA7" w:rsidRDefault="007C5CA7" w14:paraId="656AA86A" w14:textId="5C90E5B4">
      <w:pPr>
        <w:pStyle w:val="DCJContinue"/>
      </w:pPr>
      <w:r>
        <w:t xml:space="preserve">Mr R Jackson for Coalfield Maintenance Pty Limited </w:t>
      </w:r>
    </w:p>
    <w:p w:rsidR="007C5CA7" w:rsidP="007C5CA7" w:rsidRDefault="007C5CA7" w14:paraId="47CBCD90" w14:textId="47DCAC0F">
      <w:pPr>
        <w:pStyle w:val="DCJContinue"/>
      </w:pPr>
      <w:r>
        <w:t xml:space="preserve">Ms E Succar for Bingo Waste Services Pty Limited  </w:t>
      </w:r>
    </w:p>
    <w:p w:rsidR="007C5CA7" w:rsidP="007C5CA7" w:rsidRDefault="007C5CA7" w14:paraId="1D7F114D" w14:textId="7099EC18">
      <w:pPr>
        <w:pStyle w:val="DCJContinue"/>
      </w:pPr>
      <w:r>
        <w:t>Mr B Previtera for Aurizon Operations Limited</w:t>
      </w:r>
    </w:p>
    <w:p w:rsidR="007C5CA7" w:rsidP="007C5CA7" w:rsidRDefault="007C5CA7" w14:paraId="2B6CCBAD" w14:textId="77777777">
      <w:pPr>
        <w:pStyle w:val="DCJContinue"/>
      </w:pPr>
    </w:p>
    <w:p w:rsidRPr="00EE510A" w:rsidR="007C5CA7" w:rsidP="00870609" w:rsidRDefault="007C5CA7" w14:paraId="2EC76701" w14:textId="77777777">
      <w:pPr>
        <w:pStyle w:val="DCJContinue"/>
        <w:jc w:val="center"/>
      </w:pPr>
      <w:r w:rsidRPr="00EE510A">
        <w:t>---</w:t>
      </w:r>
    </w:p>
    <w:p w:rsidR="004C1C45" w:rsidP="00077B7F" w:rsidRDefault="004C1C45" w14:paraId="22AA1882" w14:textId="77777777">
      <w:pPr>
        <w:pStyle w:val="DCJContinue"/>
        <w:sectPr w:rsidR="004C1C45" w:rsidSect="00004F86">
          <w:headerReference w:type="default" r:id="rId7"/>
          <w:footerReference w:type="default" r:id="rId8"/>
          <w:headerReference w:type="first" r:id="rId9"/>
          <w:footerReference w:type="first" r:id="rId10"/>
          <w:type w:val="continuous"/>
          <w:pgSz w:w="11906" w:h="16838" w:code="9"/>
          <w:pgMar w:top="1418" w:right="1253" w:bottom="1412" w:left="2274" w:header="357" w:footer="851" w:gutter="0"/>
          <w:lnNumType w:countBy="5"/>
          <w:cols w:space="708"/>
          <w:docGrid w:linePitch="360"/>
        </w:sectPr>
      </w:pPr>
    </w:p>
    <w:p w:rsidR="00B47DF4" w:rsidP="00077B7F" w:rsidRDefault="00B47DF4" w14:paraId="64AFD2ED" w14:textId="6B6C5755">
      <w:pPr>
        <w:pStyle w:val="DCJContinue"/>
      </w:pPr>
    </w:p>
    <w:p w:rsidR="007C5CA7" w:rsidP="00173814" w:rsidRDefault="007C5CA7" w14:paraId="181D968B" w14:textId="77777777">
      <w:pPr>
        <w:pStyle w:val="DCJContinue"/>
      </w:pPr>
      <w:r>
        <w:t>HIS HONOUR:  Yes, Mr Withers?</w:t>
      </w:r>
    </w:p>
    <w:p w:rsidR="007C5CA7" w:rsidP="00173814" w:rsidRDefault="007C5CA7" w14:paraId="422506A5" w14:textId="77777777">
      <w:pPr>
        <w:pStyle w:val="DCJContinue"/>
      </w:pPr>
    </w:p>
    <w:p w:rsidR="007C5CA7" w:rsidP="00173814" w:rsidRDefault="007C5CA7" w14:paraId="217CD1F8" w14:textId="1DD888D5">
      <w:pPr>
        <w:pStyle w:val="DCJContinue"/>
      </w:pPr>
      <w:r>
        <w:t>WITHERS:  On the question of consequences of a liquidation, it was said against us that there’s a risk that Oaktree</w:t>
      </w:r>
      <w:r w:rsidR="004C1C45">
        <w:t>(?)</w:t>
      </w:r>
      <w:r>
        <w:t xml:space="preserve"> would come along and appoint a receiver.  We submit that your Honour wouldn’t be persuaded that there’s any real likelihood of that happening because, first of all, your Honour doesn’t, so far as we can tell, have evidence of the amount of the debt that Oaktree own.  And whether it would it would be worthwhile appointing a receiver.  But even if that could be established, the point that your Honour raised is that the company has to give an indemnity to a receiver.  </w:t>
      </w:r>
    </w:p>
    <w:p w:rsidR="007C5CA7" w:rsidP="00173814" w:rsidRDefault="007C5CA7" w14:paraId="4C8FCB65" w14:textId="77777777">
      <w:pPr>
        <w:pStyle w:val="DCJContinue"/>
      </w:pPr>
    </w:p>
    <w:p w:rsidR="007C5CA7" w:rsidP="00173814" w:rsidRDefault="007C5CA7" w14:paraId="437AB34A" w14:textId="77777777">
      <w:pPr>
        <w:pStyle w:val="DCJContinue"/>
      </w:pPr>
      <w:r>
        <w:t>So, Oaktree appointing a receiver would have the consequence of it assuming the responsibilities for the maintenance of the mine and all of the costs of the environmental maintenance that goes along with it.  So, then, in effect, funding the cost of the sale process itself.  The consequences of that happening, it seems, are extremely small and, therefore, the chances of there being an event of default under the terms of the funding agreement between Keyview and the liquidators are likewise equally small.</w:t>
      </w:r>
    </w:p>
    <w:p w:rsidR="007C5CA7" w:rsidP="00173814" w:rsidRDefault="007C5CA7" w14:paraId="553CF04E" w14:textId="77777777">
      <w:pPr>
        <w:pStyle w:val="DCJContinue"/>
      </w:pPr>
    </w:p>
    <w:p w:rsidR="007C5CA7" w:rsidP="00173814" w:rsidRDefault="007C5CA7" w14:paraId="1DDBB2AF" w14:textId="02607F9E">
      <w:pPr>
        <w:pStyle w:val="DCJContinue"/>
      </w:pPr>
      <w:r>
        <w:t>HIS HONOUR:  Well, that may or may not be so, but the point I was really raising, which I understand was the point that was made by Mr Fraser</w:t>
      </w:r>
      <w:r w:rsidR="00792288">
        <w:t>(?)</w:t>
      </w:r>
      <w:r>
        <w:t xml:space="preserve"> in cross</w:t>
      </w:r>
      <w:r>
        <w:noBreakHyphen/>
        <w:t>examination, albeit in a relatively abbreviated way, was that if it does happen, it simply becomes a substitute sale process which looks much like a sale by a funded legal matter.</w:t>
      </w:r>
    </w:p>
    <w:p w:rsidR="007C5CA7" w:rsidP="00173814" w:rsidRDefault="007C5CA7" w14:paraId="1062AEF5" w14:textId="77777777">
      <w:pPr>
        <w:pStyle w:val="DCJContinue"/>
      </w:pPr>
    </w:p>
    <w:p w:rsidR="007C5CA7" w:rsidP="00173814" w:rsidRDefault="007C5CA7" w14:paraId="34DE9624" w14:textId="77777777">
      <w:pPr>
        <w:pStyle w:val="DCJContinue"/>
      </w:pPr>
      <w:r>
        <w:t>WITHERS:  It’s still funded either way, in that circumstance, your Honour.  As to the employees, yes, it’s true that a liquidator’s appointed, some 250 employees will be terminated.  That is an unfortunate consequence of the situation that the company is in.  There will be a cost to that around about $32 million.  Some of it retrenchments costs will be met by a Federal Government fund.  But even if one assumes that there’s a crystallisation of a loss of $32 million, when one thinks about it--</w:t>
      </w:r>
    </w:p>
    <w:p w:rsidR="007C5CA7" w:rsidP="00173814" w:rsidRDefault="007C5CA7" w14:paraId="5A32B233" w14:textId="77777777">
      <w:pPr>
        <w:pStyle w:val="DCJContinue"/>
      </w:pPr>
    </w:p>
    <w:p w:rsidR="007C5CA7" w:rsidP="00173814" w:rsidRDefault="007C5CA7" w14:paraId="65EB4789" w14:textId="77777777">
      <w:pPr>
        <w:pStyle w:val="DCJContinue"/>
      </w:pPr>
      <w:r>
        <w:t xml:space="preserve">HIS HONOUR:  I’m sorry, just pausing there, just so we’re precise at that point.  Some will be met by the Fair Entitlements Guarantee Scheme, but the Department of Employee and Workplace Relations will in turn be subrogated to employees’ rights.  So, as far as Mr Sulan’s point, is that there are in $32 million additional claims in the insolvency.  That much seems to be correct.  </w:t>
      </w:r>
    </w:p>
    <w:p w:rsidR="007C5CA7" w:rsidP="00173814" w:rsidRDefault="007C5CA7" w14:paraId="0E243A06" w14:textId="77777777">
      <w:pPr>
        <w:pStyle w:val="DCJContinue"/>
      </w:pPr>
    </w:p>
    <w:p w:rsidR="007C5CA7" w:rsidP="00173814" w:rsidRDefault="007C5CA7" w14:paraId="1ED2B732" w14:textId="77777777">
      <w:pPr>
        <w:pStyle w:val="DCJContinue"/>
      </w:pPr>
      <w:r>
        <w:t xml:space="preserve">WITHERS:  That’s his point.  There’s an additional $32 million of claims in the insolvency and I was going to address that.  </w:t>
      </w:r>
    </w:p>
    <w:p w:rsidR="007C5CA7" w:rsidP="00173814" w:rsidRDefault="007C5CA7" w14:paraId="14CAC9CA" w14:textId="77777777">
      <w:pPr>
        <w:pStyle w:val="DCJContinue"/>
      </w:pPr>
    </w:p>
    <w:p w:rsidR="007C5CA7" w:rsidP="00173814" w:rsidRDefault="007C5CA7" w14:paraId="42AC0EF1" w14:textId="77777777">
      <w:pPr>
        <w:pStyle w:val="DCJContinue"/>
      </w:pPr>
      <w:r>
        <w:t>HIS HONOUR:  Yes.</w:t>
      </w:r>
    </w:p>
    <w:p w:rsidR="007C5CA7" w:rsidP="00173814" w:rsidRDefault="007C5CA7" w14:paraId="5DC6151B" w14:textId="77777777">
      <w:pPr>
        <w:pStyle w:val="DCJContinue"/>
      </w:pPr>
    </w:p>
    <w:p w:rsidR="007C5CA7" w:rsidP="00173814" w:rsidRDefault="007C5CA7" w14:paraId="132499AF" w14:textId="77777777">
      <w:pPr>
        <w:pStyle w:val="DCJContinue"/>
      </w:pPr>
      <w:r>
        <w:t>WITHERS:  It, ultimately, wouldn’t make a very significant difference, because if you are a prospective bidder, looking at buying this company with all 300 employees and undertaking a discounted cashflow analysis of the value of the company, one has to take into account the amount of obligations that are owed to the employees by way of salary.  And that will obviously be factored into the purchase price.  And if there is a termination of the employees and crystallises the loss of $32 million, that’s obviously a reduction of the net assets of the company.  But at the same time, it offsets the ongoing liability to pay employee wages.  So, it’s very difficult for your Honour to find that that actually presents a worse outcome for the company, than the crystallisation of the $32 million loss presents a worse outcome than a sale of the assets for a lower value because of the ongoing obligation to meet wages for employees.</w:t>
      </w:r>
    </w:p>
    <w:p w:rsidR="007C5CA7" w:rsidP="00173814" w:rsidRDefault="007C5CA7" w14:paraId="7E287F20" w14:textId="77777777">
      <w:pPr>
        <w:pStyle w:val="DCJContinue"/>
      </w:pPr>
    </w:p>
    <w:p w:rsidR="007C5CA7" w:rsidP="00173814" w:rsidRDefault="007C5CA7" w14:paraId="72A1E36F" w14:textId="77777777">
      <w:pPr>
        <w:pStyle w:val="DCJContinue"/>
      </w:pPr>
      <w:r>
        <w:t>Now, can I turn to the heads of agreement?</w:t>
      </w:r>
    </w:p>
    <w:p w:rsidR="007C5CA7" w:rsidP="00173814" w:rsidRDefault="007C5CA7" w14:paraId="479F206B" w14:textId="77777777">
      <w:pPr>
        <w:pStyle w:val="DCJContinue"/>
      </w:pPr>
    </w:p>
    <w:p w:rsidR="007C5CA7" w:rsidP="00173814" w:rsidRDefault="007C5CA7" w14:paraId="3EAB95E4" w14:textId="77777777">
      <w:pPr>
        <w:pStyle w:val="DCJContinue"/>
      </w:pPr>
      <w:r>
        <w:t>HIS HONOUR:  Yes.</w:t>
      </w:r>
    </w:p>
    <w:p w:rsidR="007C5CA7" w:rsidP="00173814" w:rsidRDefault="007C5CA7" w14:paraId="57A230AE" w14:textId="77777777">
      <w:pPr>
        <w:pStyle w:val="DCJContinue"/>
      </w:pPr>
    </w:p>
    <w:p w:rsidR="007C5CA7" w:rsidP="00173814" w:rsidRDefault="007C5CA7" w14:paraId="04326FC9" w14:textId="77777777">
      <w:pPr>
        <w:pStyle w:val="DCJContinue"/>
      </w:pPr>
      <w:r>
        <w:t>WITHERS:  Which is behind tab 33B.  So, we know who the lender is.  So this is exhibit CNR2.</w:t>
      </w:r>
    </w:p>
    <w:p w:rsidR="007C5CA7" w:rsidP="00173814" w:rsidRDefault="007C5CA7" w14:paraId="1DF72D11" w14:textId="77777777">
      <w:pPr>
        <w:pStyle w:val="DCJContinue"/>
      </w:pPr>
    </w:p>
    <w:p w:rsidR="007C5CA7" w:rsidP="00173814" w:rsidRDefault="007C5CA7" w14:paraId="2E889DBF" w14:textId="77777777">
      <w:pPr>
        <w:pStyle w:val="DCJContinue"/>
      </w:pPr>
      <w:r>
        <w:t>HIS HONOUR:  Yes.  Thank you.  Yes, I have that.  Yes.</w:t>
      </w:r>
    </w:p>
    <w:p w:rsidR="007C5CA7" w:rsidP="00173814" w:rsidRDefault="007C5CA7" w14:paraId="4A18878C" w14:textId="77777777">
      <w:pPr>
        <w:pStyle w:val="DCJContinue"/>
      </w:pPr>
    </w:p>
    <w:p w:rsidR="007C5CA7" w:rsidP="00173814" w:rsidRDefault="007C5CA7" w14:paraId="2A14D390" w14:textId="37F1D5C7">
      <w:pPr>
        <w:pStyle w:val="DCJContinue"/>
      </w:pPr>
      <w:r>
        <w:t xml:space="preserve">WITHERS:  The lender’s Cougar Investment.  You’ve been provided with information about them in Mr Fraser’s affidavit.  There’d be no suggestion that there is any issues with approval as a lender.  The borrower, of course, is the defendant.  The facility amount is 40 million.  In terms of security and ranking, what’s been provided for here in the heads of agreement is, in effect, for the lender to have security over the equitable </w:t>
      </w:r>
      <w:r w:rsidR="00792288">
        <w:t xml:space="preserve">lien </w:t>
      </w:r>
      <w:r>
        <w:t xml:space="preserve">that the liquidators have over </w:t>
      </w:r>
      <w:r>
        <w:lastRenderedPageBreak/>
        <w:t>assets of the company, insofar as they are realised through the liquidation.  Security’s been granted over that.  So, this is not, in effect, trumping other secure creditors, it is giving security over rights that the liquidators already have.</w:t>
      </w:r>
    </w:p>
    <w:p w:rsidR="007C5CA7" w:rsidP="00173814" w:rsidRDefault="007C5CA7" w14:paraId="7C04FCA6" w14:textId="77777777">
      <w:pPr>
        <w:pStyle w:val="DCJContinue"/>
      </w:pPr>
    </w:p>
    <w:p w:rsidR="007C5CA7" w:rsidP="00173814" w:rsidRDefault="007C5CA7" w14:paraId="61E23B8A" w14:textId="311D51F6">
      <w:pPr>
        <w:pStyle w:val="DCJContinue"/>
      </w:pPr>
      <w:r>
        <w:t>It provides for tranches and their availability period is at the top of page 6.  The tranches are 17-and-a-half million for the first tranche and this is for funding transaction costs and ongoing approved liquidation expenses.  And I’ll come to the more specific definition of those things in the long-form agreement in a moment.  And then, we have the 22-and-a-half million dollars for approved liquidation expenses that, presumably only arises if the 17-and-a-half million dollars is not enough to fund the sale and you have Mr Fraser’s estimate that 15 million should be enough to fund the sale particularly when the termination of</w:t>
      </w:r>
      <w:r w:rsidR="00792288">
        <w:t xml:space="preserve"> </w:t>
      </w:r>
      <w:r>
        <w:t>employees reduces the cost of wages from about $5 million a month to about a million dollars a month.  We have the balance of the provisions about the maturity date and the fees on that page.  Now, yes, the fees are, not surprisingly, expensive.  In a situation like this that’s what one would expect to have a lender like Keyview provide funding to the company in these circumstances.  With the degree of uncertainty that the company is facing, one is not surprised by the amount of the fees.</w:t>
      </w:r>
    </w:p>
    <w:p w:rsidR="007C5CA7" w:rsidP="00173814" w:rsidRDefault="007C5CA7" w14:paraId="3F12F6AC" w14:textId="77777777">
      <w:pPr>
        <w:pStyle w:val="DCJContinue"/>
      </w:pPr>
    </w:p>
    <w:p w:rsidR="007C5CA7" w:rsidP="00173814" w:rsidRDefault="007C5CA7" w14:paraId="558E00A5" w14:textId="77777777">
      <w:pPr>
        <w:pStyle w:val="DCJContinue"/>
      </w:pPr>
      <w:r>
        <w:t>We have, in financial closes, the date on which the agreement is executed.  The interest rate - this is on p 7, your Honour - and then we have events of default over at p 8, and then we get, of course, to conditions precedent.  Now, the conditions precedent for the first drawdown are the ones that my learned friends have directed attention to of the approved budget and the legal opinion, and then there’s conditions precedent for the second drawdown.  The one that our learned friend draws attention to is the direction under s 90/15.</w:t>
      </w:r>
    </w:p>
    <w:p w:rsidR="007C5CA7" w:rsidP="00173814" w:rsidRDefault="007C5CA7" w14:paraId="43BBA3D1" w14:textId="77777777">
      <w:pPr>
        <w:pStyle w:val="DCJContinue"/>
      </w:pPr>
    </w:p>
    <w:p w:rsidR="007C5CA7" w:rsidP="00173814" w:rsidRDefault="007C5CA7" w14:paraId="108855A8" w14:textId="77777777">
      <w:pPr>
        <w:pStyle w:val="DCJContinue"/>
      </w:pPr>
      <w:r>
        <w:t>HIS HONOUR:  Yes.</w:t>
      </w:r>
    </w:p>
    <w:p w:rsidR="007C5CA7" w:rsidP="00173814" w:rsidRDefault="007C5CA7" w14:paraId="594AC181" w14:textId="77777777">
      <w:pPr>
        <w:pStyle w:val="DCJContinue"/>
      </w:pPr>
    </w:p>
    <w:p w:rsidR="007C5CA7" w:rsidP="00173814" w:rsidRDefault="007C5CA7" w14:paraId="23EE69E7" w14:textId="7425F83A">
      <w:pPr>
        <w:pStyle w:val="DCJContinue"/>
      </w:pPr>
      <w:r>
        <w:t xml:space="preserve">WITHERS:  Now, turning to the fact of the condition precedents for the first drawdown, your Honour heard evidence from Mr Fraser that he considered  the approved budget requirement to be something of a formality, and likewise the legal opinion.  If we look at the loan agreement itself, CMI4, we can see the definitions of approved budget and improved liquidation expenses, and they appear on p 2.  </w:t>
      </w:r>
    </w:p>
    <w:p w:rsidR="007C5CA7" w:rsidP="00173814" w:rsidRDefault="007C5CA7" w14:paraId="0C6175F3" w14:textId="77777777">
      <w:pPr>
        <w:pStyle w:val="DCJContinue"/>
      </w:pPr>
    </w:p>
    <w:p w:rsidR="007C5CA7" w:rsidP="00173814" w:rsidRDefault="007C5CA7" w14:paraId="11F69324" w14:textId="77777777">
      <w:pPr>
        <w:pStyle w:val="DCJContinue"/>
      </w:pPr>
      <w:r>
        <w:t>HIS HONOUR:  Yes.</w:t>
      </w:r>
    </w:p>
    <w:p w:rsidR="007C5CA7" w:rsidP="00173814" w:rsidRDefault="007C5CA7" w14:paraId="3B7797D5" w14:textId="77777777">
      <w:pPr>
        <w:pStyle w:val="DCJContinue"/>
      </w:pPr>
    </w:p>
    <w:p w:rsidR="007C5CA7" w:rsidP="00173814" w:rsidRDefault="007C5CA7" w14:paraId="7608925A" w14:textId="77777777">
      <w:pPr>
        <w:pStyle w:val="DCJContinue"/>
      </w:pPr>
      <w:r>
        <w:t xml:space="preserve">WITHERS:  Now, approved liquidation expenses simply means all reasonable debts, liabilities, costs, expenses and remuneration properly incurred in identifying, recovering, preserving, realising or getting in the property of the company, or in carrying on the company’s business.  That includes the obligations of the company and the liquidators under the transaction documents.  Then we look at approved budget, means the budget of anticipated approved liquidation expenses for the period commencing from the day of this document, the termination date of the facility.  </w:t>
      </w:r>
    </w:p>
    <w:p w:rsidR="007C5CA7" w:rsidP="00173814" w:rsidRDefault="007C5CA7" w14:paraId="41E38DF1" w14:textId="77777777">
      <w:pPr>
        <w:pStyle w:val="DCJContinue"/>
      </w:pPr>
    </w:p>
    <w:p w:rsidR="007C5CA7" w:rsidP="00173814" w:rsidRDefault="007C5CA7" w14:paraId="51C92B25" w14:textId="77777777">
      <w:pPr>
        <w:pStyle w:val="DCJContinue"/>
      </w:pPr>
      <w:r>
        <w:lastRenderedPageBreak/>
        <w:t xml:space="preserve">And so in other words, the approved budget just has to constitute identification of reasonable debts.  There’s an objective criteria for what needs to be in the approved budget, which is those things described as approved liquidation expenses.  Now, that, as Mr Fraser said, is not going to be something that’s difficult to obtain, and it might even be, at least for the first tranche, or some part of the first tranche, it may even be made available overnight.  </w:t>
      </w:r>
    </w:p>
    <w:p w:rsidR="007C5CA7" w:rsidP="00173814" w:rsidRDefault="007C5CA7" w14:paraId="2D89070E" w14:textId="77777777">
      <w:pPr>
        <w:pStyle w:val="DCJContinue"/>
      </w:pPr>
    </w:p>
    <w:p w:rsidR="007C5CA7" w:rsidP="00173814" w:rsidRDefault="007C5CA7" w14:paraId="7CE06B0A" w14:textId="77777777">
      <w:pPr>
        <w:pStyle w:val="DCJContinue"/>
      </w:pPr>
      <w:r>
        <w:t xml:space="preserve">Then the legal opinion, again, is a formality, but it can be addressed in the manner that I have suggested at the outset, if your Honour has concerns about whether or not these two things will come to pass, i.e. whether the conditions precedent will be satisfied.  </w:t>
      </w:r>
    </w:p>
    <w:p w:rsidR="007C5CA7" w:rsidP="00173814" w:rsidRDefault="007C5CA7" w14:paraId="48775F5C" w14:textId="77777777">
      <w:pPr>
        <w:pStyle w:val="DCJContinue"/>
      </w:pPr>
    </w:p>
    <w:p w:rsidR="007C5CA7" w:rsidP="00173814" w:rsidRDefault="007C5CA7" w14:paraId="269228A9" w14:textId="77777777">
      <w:pPr>
        <w:pStyle w:val="DCJContinue"/>
      </w:pPr>
      <w:r>
        <w:t xml:space="preserve">HIS HONOUR:  Yes.  I should come back - I didn’t want to interrupt you while you were dealing with other matters, but it seems to me that that approach does not in fact succeed.  It doesn’t succeed for this reason.  Ultimately I have to determine whether to adjourn by reference to a state of facts that exists at a point in time, and there is no getting around that by saying the position will be different tomorrow.  I have to reach that determination on the facts.  They exist and I can’t incorporate in the facts that they exist, something that might in future occur.  </w:t>
      </w:r>
    </w:p>
    <w:p w:rsidR="007C5CA7" w:rsidP="00173814" w:rsidRDefault="007C5CA7" w14:paraId="502EA5DF" w14:textId="77777777">
      <w:pPr>
        <w:pStyle w:val="DCJContinue"/>
      </w:pPr>
    </w:p>
    <w:p w:rsidR="007C5CA7" w:rsidP="00173814" w:rsidRDefault="007C5CA7" w14:paraId="289E4AFB" w14:textId="77777777">
      <w:pPr>
        <w:pStyle w:val="DCJContinue"/>
      </w:pPr>
      <w:r>
        <w:t>WITHERS:  Well, what your Honour can do, with respect, is take into account that, in terms of assessing the state of facts that exists, at least between now and 10.30 tomorrow morning, before your Honour has to give reasons, is the possibility that those conditions, the approved budget and the legal opinion, will be satisfactorily resolved.</w:t>
      </w:r>
    </w:p>
    <w:p w:rsidR="007C5CA7" w:rsidP="00173814" w:rsidRDefault="007C5CA7" w14:paraId="5BAF5965" w14:textId="77777777">
      <w:pPr>
        <w:pStyle w:val="DCJContinue"/>
      </w:pPr>
    </w:p>
    <w:p w:rsidR="007C5CA7" w:rsidP="00173814" w:rsidRDefault="007C5CA7" w14:paraId="71056C34" w14:textId="77777777">
      <w:pPr>
        <w:pStyle w:val="DCJContinue"/>
      </w:pPr>
      <w:r>
        <w:t>HIS HONOUR:  Yes.  Well, no doubt, if, by 10.30am tomorrow, they are satisfactorily resolved, someone will tell me so.</w:t>
      </w:r>
    </w:p>
    <w:p w:rsidR="007C5CA7" w:rsidP="00173814" w:rsidRDefault="007C5CA7" w14:paraId="7814F209" w14:textId="77777777">
      <w:pPr>
        <w:pStyle w:val="DCJContinue"/>
      </w:pPr>
    </w:p>
    <w:p w:rsidR="007C5CA7" w:rsidP="00173814" w:rsidRDefault="007C5CA7" w14:paraId="569639E1" w14:textId="77777777">
      <w:pPr>
        <w:pStyle w:val="DCJContinue"/>
      </w:pPr>
      <w:r>
        <w:t xml:space="preserve">WITHERS:  Well, I can tell you one thing now.  I’ve just been told that the approved budget has been approved and there is an email that has been sent, so that’s one step.  I’m not sure on the status of the legal opinion.  </w:t>
      </w:r>
    </w:p>
    <w:p w:rsidR="007C5CA7" w:rsidP="00173814" w:rsidRDefault="007C5CA7" w14:paraId="5C375B42" w14:textId="77777777">
      <w:pPr>
        <w:pStyle w:val="DCJContinue"/>
      </w:pPr>
    </w:p>
    <w:p w:rsidR="007C5CA7" w:rsidP="00173814" w:rsidRDefault="007C5CA7" w14:paraId="52B4C9BE" w14:textId="77777777">
      <w:pPr>
        <w:pStyle w:val="DCJContinue"/>
      </w:pPr>
      <w:r>
        <w:t>HIS HONOUR:  Yes.  Well, again, you’ll need to reopen and deal with that in a formal way by evidence.</w:t>
      </w:r>
    </w:p>
    <w:p w:rsidR="007C5CA7" w:rsidP="00173814" w:rsidRDefault="007C5CA7" w14:paraId="7CAC64E6" w14:textId="77777777">
      <w:pPr>
        <w:pStyle w:val="DCJContinue"/>
      </w:pPr>
    </w:p>
    <w:p w:rsidR="007C5CA7" w:rsidP="00173814" w:rsidRDefault="007C5CA7" w14:paraId="7CA7B473" w14:textId="77777777">
      <w:pPr>
        <w:pStyle w:val="DCJContinue"/>
      </w:pPr>
      <w:r>
        <w:t>WITHERS:  Yes.</w:t>
      </w:r>
    </w:p>
    <w:p w:rsidR="007C5CA7" w:rsidP="00173814" w:rsidRDefault="007C5CA7" w14:paraId="48C2AB5E" w14:textId="77777777">
      <w:pPr>
        <w:pStyle w:val="DCJContinue"/>
      </w:pPr>
    </w:p>
    <w:p w:rsidR="007C5CA7" w:rsidP="00173814" w:rsidRDefault="007C5CA7" w14:paraId="6F351E45" w14:textId="77777777">
      <w:pPr>
        <w:pStyle w:val="DCJContinue"/>
      </w:pPr>
      <w:r>
        <w:t>HIS HONOUR:  At some point.  Not particularly now because at the moment you don’t have an executed agreement so the evidence would be pointless.</w:t>
      </w:r>
    </w:p>
    <w:p w:rsidR="007C5CA7" w:rsidP="00173814" w:rsidRDefault="007C5CA7" w14:paraId="63D73733" w14:textId="77777777">
      <w:pPr>
        <w:pStyle w:val="DCJContinue"/>
      </w:pPr>
    </w:p>
    <w:p w:rsidR="007C5CA7" w:rsidP="00173814" w:rsidRDefault="007C5CA7" w14:paraId="526D7C5D" w14:textId="77777777">
      <w:pPr>
        <w:pStyle w:val="DCJContinue"/>
      </w:pPr>
      <w:r>
        <w:t>WITHERS:  That's right.  But if your Honour is going to be having to consider this matter overnight, in any event, for the reasons your Honour mentioned, then there will be an opportunity for me to provide those documents to your Honour if they’re ready by the morning.</w:t>
      </w:r>
    </w:p>
    <w:p w:rsidR="007C5CA7" w:rsidP="00173814" w:rsidRDefault="007C5CA7" w14:paraId="4D48D7A6" w14:textId="77777777">
      <w:pPr>
        <w:pStyle w:val="DCJContinue"/>
      </w:pPr>
    </w:p>
    <w:p w:rsidR="007C5CA7" w:rsidP="00173814" w:rsidRDefault="007C5CA7" w14:paraId="7E85C94D" w14:textId="77777777">
      <w:pPr>
        <w:pStyle w:val="DCJContinue"/>
      </w:pPr>
      <w:r>
        <w:t>HIS HONOUR:  Yes.</w:t>
      </w:r>
    </w:p>
    <w:p w:rsidR="007C5CA7" w:rsidP="00173814" w:rsidRDefault="007C5CA7" w14:paraId="6D88928B" w14:textId="77777777">
      <w:pPr>
        <w:pStyle w:val="DCJContinue"/>
      </w:pPr>
    </w:p>
    <w:p w:rsidR="007C5CA7" w:rsidP="00173814" w:rsidRDefault="007C5CA7" w14:paraId="2B6ADD34" w14:textId="77777777">
      <w:pPr>
        <w:pStyle w:val="DCJContinue"/>
      </w:pPr>
      <w:r>
        <w:lastRenderedPageBreak/>
        <w:t>WITHERS:  Now, I appreciate that this is an unusual situation which your Honour has--</w:t>
      </w:r>
    </w:p>
    <w:p w:rsidR="007C5CA7" w:rsidP="00173814" w:rsidRDefault="007C5CA7" w14:paraId="3DB4CD5C" w14:textId="77777777">
      <w:pPr>
        <w:pStyle w:val="DCJContinue"/>
      </w:pPr>
    </w:p>
    <w:p w:rsidR="007C5CA7" w:rsidP="00173814" w:rsidRDefault="007C5CA7" w14:paraId="5C372879" w14:textId="77777777">
      <w:pPr>
        <w:pStyle w:val="DCJContinue"/>
      </w:pPr>
      <w:r>
        <w:t>HIS HONOUR:  Mr Withers, I’m sorry, there was no element of complaint in that.  I find this a very difficult matter.  I’m anxious to deliver the fairest and best judgment I can with the best actual basis I can.  So I am not complaining about this process.  I appreciate it is difficult for the parties, all of whom are grappling with a really very difficult situation.</w:t>
      </w:r>
    </w:p>
    <w:p w:rsidR="007C5CA7" w:rsidP="00173814" w:rsidRDefault="007C5CA7" w14:paraId="4B1892EE" w14:textId="77777777">
      <w:pPr>
        <w:pStyle w:val="DCJContinue"/>
      </w:pPr>
    </w:p>
    <w:p w:rsidR="007C5CA7" w:rsidP="00173814" w:rsidRDefault="007C5CA7" w14:paraId="08C9A0A9" w14:textId="77777777">
      <w:pPr>
        <w:pStyle w:val="DCJContinue"/>
      </w:pPr>
      <w:r>
        <w:t>WITHERS:  Thank you, your Honour.  So the condition precedent for the subsequent drawdowns, if they be required, is set out on p 10, which is a direction under s 90--</w:t>
      </w:r>
    </w:p>
    <w:p w:rsidR="007C5CA7" w:rsidP="00173814" w:rsidRDefault="007C5CA7" w14:paraId="3A2531F6" w14:textId="77777777">
      <w:pPr>
        <w:pStyle w:val="DCJContinue"/>
      </w:pPr>
    </w:p>
    <w:p w:rsidR="007C5CA7" w:rsidP="00173814" w:rsidRDefault="007C5CA7" w14:paraId="3FFA778B" w14:textId="77777777">
      <w:pPr>
        <w:pStyle w:val="DCJContinue"/>
      </w:pPr>
      <w:r>
        <w:t>HIS HONOUR:  Are we in the loan agreement at the moment?</w:t>
      </w:r>
    </w:p>
    <w:p w:rsidR="007C5CA7" w:rsidP="00173814" w:rsidRDefault="007C5CA7" w14:paraId="06C8ECC9" w14:textId="77777777">
      <w:pPr>
        <w:pStyle w:val="DCJContinue"/>
      </w:pPr>
    </w:p>
    <w:p w:rsidR="007C5CA7" w:rsidP="00173814" w:rsidRDefault="007C5CA7" w14:paraId="653093F7" w14:textId="77777777">
      <w:pPr>
        <w:pStyle w:val="DCJContinue"/>
      </w:pPr>
      <w:r>
        <w:t>WITHERS:  Sorry, I'm in the heads of agreement.</w:t>
      </w:r>
    </w:p>
    <w:p w:rsidR="007C5CA7" w:rsidP="00173814" w:rsidRDefault="007C5CA7" w14:paraId="13A9465F" w14:textId="77777777">
      <w:pPr>
        <w:pStyle w:val="DCJContinue"/>
      </w:pPr>
    </w:p>
    <w:p w:rsidR="007C5CA7" w:rsidP="00173814" w:rsidRDefault="007C5CA7" w14:paraId="5FFD639B" w14:textId="77777777">
      <w:pPr>
        <w:pStyle w:val="DCJContinue"/>
      </w:pPr>
      <w:r>
        <w:t>HIS HONOUR:  Yes.  And you would take me to where?</w:t>
      </w:r>
    </w:p>
    <w:p w:rsidR="007C5CA7" w:rsidP="00173814" w:rsidRDefault="007C5CA7" w14:paraId="16E31AE3" w14:textId="77777777">
      <w:pPr>
        <w:pStyle w:val="DCJContinue"/>
      </w:pPr>
    </w:p>
    <w:p w:rsidR="007C5CA7" w:rsidP="00173814" w:rsidRDefault="007C5CA7" w14:paraId="218B2752" w14:textId="77777777">
      <w:pPr>
        <w:pStyle w:val="DCJContinue"/>
      </w:pPr>
      <w:r>
        <w:t>WITHERS:  To p 10, which is the conditions precedent for the second drawdown.</w:t>
      </w:r>
    </w:p>
    <w:p w:rsidR="007C5CA7" w:rsidP="00173814" w:rsidRDefault="007C5CA7" w14:paraId="727038BF" w14:textId="77777777">
      <w:pPr>
        <w:pStyle w:val="DCJContinue"/>
      </w:pPr>
    </w:p>
    <w:p w:rsidR="007C5CA7" w:rsidP="00173814" w:rsidRDefault="007C5CA7" w14:paraId="563DEDEC" w14:textId="77777777">
      <w:pPr>
        <w:pStyle w:val="DCJContinue"/>
      </w:pPr>
      <w:r>
        <w:t xml:space="preserve">HIS HONOUR:  Yes.  </w:t>
      </w:r>
    </w:p>
    <w:p w:rsidR="007C5CA7" w:rsidP="00173814" w:rsidRDefault="007C5CA7" w14:paraId="20DD5E5D" w14:textId="77777777">
      <w:pPr>
        <w:pStyle w:val="DCJContinue"/>
      </w:pPr>
    </w:p>
    <w:p w:rsidR="007C5CA7" w:rsidP="00173814" w:rsidRDefault="007C5CA7" w14:paraId="6779D147" w14:textId="77777777">
      <w:pPr>
        <w:pStyle w:val="DCJContinue"/>
      </w:pPr>
      <w:r>
        <w:t xml:space="preserve">WITHERS:  This is the direction under s 90-15 of the Insolvency Practice Schedule.  </w:t>
      </w:r>
    </w:p>
    <w:p w:rsidR="007C5CA7" w:rsidP="00173814" w:rsidRDefault="007C5CA7" w14:paraId="475E732C" w14:textId="77777777">
      <w:pPr>
        <w:pStyle w:val="DCJContinue"/>
      </w:pPr>
    </w:p>
    <w:p w:rsidR="007C5CA7" w:rsidP="00173814" w:rsidRDefault="007C5CA7" w14:paraId="0D754BC9" w14:textId="77777777">
      <w:pPr>
        <w:pStyle w:val="DCJContinue"/>
      </w:pPr>
      <w:r>
        <w:t xml:space="preserve">HIS HONOUR:  Yes.  </w:t>
      </w:r>
    </w:p>
    <w:p w:rsidR="007C5CA7" w:rsidP="00173814" w:rsidRDefault="007C5CA7" w14:paraId="67E9079A" w14:textId="77777777">
      <w:pPr>
        <w:pStyle w:val="DCJContinue"/>
      </w:pPr>
    </w:p>
    <w:p w:rsidR="007C5CA7" w:rsidP="00173814" w:rsidRDefault="007C5CA7" w14:paraId="71D597E0" w14:textId="77777777">
      <w:pPr>
        <w:pStyle w:val="DCJContinue"/>
      </w:pPr>
      <w:r>
        <w:t>WITHERS:  Now, this is a matter that my learned friend said it would be a difficult application.  That’s not necessarily so.  It’s an application in the unusual circumstances of this case that would have to be considered on its merits at the time.</w:t>
      </w:r>
    </w:p>
    <w:p w:rsidR="007C5CA7" w:rsidP="00173814" w:rsidRDefault="007C5CA7" w14:paraId="2A307306" w14:textId="77777777">
      <w:pPr>
        <w:pStyle w:val="DCJContinue"/>
      </w:pPr>
    </w:p>
    <w:p w:rsidR="007C5CA7" w:rsidP="00173814" w:rsidRDefault="007C5CA7" w14:paraId="1FB97065" w14:textId="77777777">
      <w:pPr>
        <w:pStyle w:val="DCJContinue"/>
      </w:pPr>
      <w:r>
        <w:t xml:space="preserve">HIS HONOUR:  Although I think Mr Sulan was highlighting, perhaps sensibly enough, is that the person bringing that application is going to be asked two difficult questions which don't have obvious answers.  The first is, why are you here asking for a general explanation of what is a universal distributing rule, and you can go and look up an insolvency textbook for that, or if that’s not what you’re doing and what you are doing is asking for a direction as to where the particular expenses fall within it, then you’re going to have to define those expenses.  </w:t>
      </w:r>
    </w:p>
    <w:p w:rsidR="007C5CA7" w:rsidP="00173814" w:rsidRDefault="007C5CA7" w14:paraId="2819838C" w14:textId="77777777">
      <w:pPr>
        <w:pStyle w:val="DCJContinue"/>
      </w:pPr>
    </w:p>
    <w:p w:rsidR="007C5CA7" w:rsidP="00173814" w:rsidRDefault="007C5CA7" w14:paraId="75D855D1" w14:textId="77777777">
      <w:pPr>
        <w:pStyle w:val="DCJContinue"/>
      </w:pPr>
      <w:r>
        <w:t>WITHERS:  Yes.</w:t>
      </w:r>
    </w:p>
    <w:p w:rsidR="007C5CA7" w:rsidP="00173814" w:rsidRDefault="007C5CA7" w14:paraId="07612977" w14:textId="77777777">
      <w:pPr>
        <w:pStyle w:val="DCJContinue"/>
      </w:pPr>
    </w:p>
    <w:p w:rsidR="007C5CA7" w:rsidP="00173814" w:rsidRDefault="007C5CA7" w14:paraId="35807B7E" w14:textId="77777777">
      <w:pPr>
        <w:pStyle w:val="DCJContinue"/>
      </w:pPr>
      <w:r>
        <w:t>HIS HONOUR:  So that’s the difficulty of the application.</w:t>
      </w:r>
    </w:p>
    <w:p w:rsidR="007C5CA7" w:rsidP="00173814" w:rsidRDefault="007C5CA7" w14:paraId="1D0E72A2" w14:textId="77777777">
      <w:pPr>
        <w:pStyle w:val="DCJContinue"/>
      </w:pPr>
    </w:p>
    <w:p w:rsidR="007C5CA7" w:rsidP="00173814" w:rsidRDefault="007C5CA7" w14:paraId="4E506CDE" w14:textId="77777777">
      <w:pPr>
        <w:pStyle w:val="DCJContinue"/>
      </w:pPr>
      <w:r>
        <w:t xml:space="preserve">WITHERS:  Yes.  Certainly it has those difficulties, there’s no doubt about it.  It may actually never be necessary, and one could also predict that if, at this </w:t>
      </w:r>
      <w:r>
        <w:lastRenderedPageBreak/>
        <w:t>point in time, the lender has provided some 17 and a half million dollars’ worth of funding and if further money is required for the completion of the liquidation process, that one can see a lender perhaps considering waving that condition.</w:t>
      </w:r>
    </w:p>
    <w:p w:rsidR="007C5CA7" w:rsidP="00173814" w:rsidRDefault="007C5CA7" w14:paraId="7E6D6D71" w14:textId="77777777">
      <w:pPr>
        <w:pStyle w:val="DCJContinue"/>
      </w:pPr>
    </w:p>
    <w:p w:rsidR="007C5CA7" w:rsidP="00173814" w:rsidRDefault="007C5CA7" w14:paraId="470C7E5D" w14:textId="77777777">
      <w:pPr>
        <w:pStyle w:val="DCJContinue"/>
      </w:pPr>
      <w:r>
        <w:t>HIS HONOUR:  Well, that may well be right, but, again, Mr Sulan’s point is, so far as you’re dealing with this term sheet at this point in time and dealing with a second drawdown, this provision is in it, and Mr Sulan wishes to point out that it’s going to be very hard to satisfy--</w:t>
      </w:r>
    </w:p>
    <w:p w:rsidR="007C5CA7" w:rsidP="00173814" w:rsidRDefault="007C5CA7" w14:paraId="4558886E" w14:textId="77777777">
      <w:pPr>
        <w:pStyle w:val="DCJContinue"/>
      </w:pPr>
    </w:p>
    <w:p w:rsidR="007C5CA7" w:rsidP="00173814" w:rsidRDefault="007C5CA7" w14:paraId="7076CB36" w14:textId="77777777">
      <w:pPr>
        <w:pStyle w:val="DCJContinue"/>
      </w:pPr>
      <w:r>
        <w:t>WITHERS:  I understand.</w:t>
      </w:r>
    </w:p>
    <w:p w:rsidR="007C5CA7" w:rsidP="00173814" w:rsidRDefault="007C5CA7" w14:paraId="185EBBFF" w14:textId="77777777">
      <w:pPr>
        <w:pStyle w:val="DCJContinue"/>
      </w:pPr>
    </w:p>
    <w:p w:rsidR="007C5CA7" w:rsidP="00173814" w:rsidRDefault="007C5CA7" w14:paraId="055EF657" w14:textId="77777777">
      <w:pPr>
        <w:pStyle w:val="DCJContinue"/>
      </w:pPr>
      <w:r>
        <w:t xml:space="preserve">HIS HONOUR:  --because a judge is going to say, why is that a proper direction?  </w:t>
      </w:r>
    </w:p>
    <w:p w:rsidR="007C5CA7" w:rsidP="00173814" w:rsidRDefault="007C5CA7" w14:paraId="271D0CC6" w14:textId="77777777">
      <w:pPr>
        <w:pStyle w:val="DCJContinue"/>
      </w:pPr>
    </w:p>
    <w:p w:rsidR="007C5CA7" w:rsidP="00173814" w:rsidRDefault="007C5CA7" w14:paraId="207FBF01" w14:textId="4D4A40E8">
      <w:pPr>
        <w:pStyle w:val="DCJContinue"/>
      </w:pPr>
      <w:r>
        <w:t xml:space="preserve">WITHERS:  Certainly, your Honour.  And it’s true, it’s a valid point, that those kinds of questions, with respect, those questions will be raised about that direction, I accept that.  </w:t>
      </w:r>
      <w:bookmarkStart w:name="_Hlk223687787" w:id="0"/>
      <w:r>
        <w:t>Ms Whittaker</w:t>
      </w:r>
      <w:bookmarkEnd w:id="0"/>
      <w:r>
        <w:t>, who knows this, says that a direction resembling this actually was considered in the matter of Idoport [2015] NSWSC 1412.</w:t>
      </w:r>
    </w:p>
    <w:p w:rsidR="007C5CA7" w:rsidP="00173814" w:rsidRDefault="007C5CA7" w14:paraId="5FCF503E" w14:textId="77777777">
      <w:pPr>
        <w:pStyle w:val="DCJContinue"/>
      </w:pPr>
    </w:p>
    <w:p w:rsidR="007C5CA7" w:rsidP="00173814" w:rsidRDefault="007C5CA7" w14:paraId="2F465449" w14:textId="77777777">
      <w:pPr>
        <w:pStyle w:val="DCJContinue"/>
      </w:pPr>
      <w:r>
        <w:t>HIS HONOUR:  Yes.  Do you have a copy of that for Mr Sulan and for me?</w:t>
      </w:r>
    </w:p>
    <w:p w:rsidR="007C5CA7" w:rsidP="00173814" w:rsidRDefault="007C5CA7" w14:paraId="381C2E5D" w14:textId="77777777">
      <w:pPr>
        <w:pStyle w:val="DCJContinue"/>
      </w:pPr>
    </w:p>
    <w:p w:rsidR="007C5CA7" w:rsidP="00173814" w:rsidRDefault="007C5CA7" w14:paraId="2C2B8851" w14:textId="77777777">
      <w:pPr>
        <w:pStyle w:val="DCJContinue"/>
      </w:pPr>
      <w:r>
        <w:t xml:space="preserve">WITHERS:  I do. </w:t>
      </w:r>
    </w:p>
    <w:p w:rsidR="007C5CA7" w:rsidP="00173814" w:rsidRDefault="007C5CA7" w14:paraId="1D195FCC" w14:textId="77777777">
      <w:pPr>
        <w:pStyle w:val="DCJContinue"/>
      </w:pPr>
    </w:p>
    <w:p w:rsidR="007C5CA7" w:rsidP="00173814" w:rsidRDefault="007C5CA7" w14:paraId="55EF366B" w14:textId="77777777">
      <w:pPr>
        <w:pStyle w:val="DCJContinue"/>
      </w:pPr>
      <w:r>
        <w:t>HIS HONOUR:  Perhaps you can embarrass me even further and tell me it was my direction?  It was?  Yes, all right.</w:t>
      </w:r>
    </w:p>
    <w:p w:rsidR="007C5CA7" w:rsidP="00173814" w:rsidRDefault="007C5CA7" w14:paraId="550792FE" w14:textId="77777777">
      <w:pPr>
        <w:pStyle w:val="DCJContinue"/>
      </w:pPr>
    </w:p>
    <w:p w:rsidR="007C5CA7" w:rsidP="00173814" w:rsidRDefault="00BA541E" w14:paraId="1E9EF83C" w14:textId="630E6EB5">
      <w:pPr>
        <w:pStyle w:val="DCJContinue"/>
      </w:pPr>
      <w:r>
        <w:t>SPEAKER</w:t>
      </w:r>
      <w:r w:rsidR="007C5CA7">
        <w:t>:  It was your direction.</w:t>
      </w:r>
    </w:p>
    <w:p w:rsidR="007C5CA7" w:rsidP="00173814" w:rsidRDefault="007C5CA7" w14:paraId="53A5E718" w14:textId="77777777">
      <w:pPr>
        <w:pStyle w:val="DCJContinue"/>
      </w:pPr>
    </w:p>
    <w:p w:rsidR="007C5CA7" w:rsidP="00173814" w:rsidRDefault="007C5CA7" w14:paraId="1E9F60A2" w14:textId="77777777">
      <w:pPr>
        <w:pStyle w:val="DCJContinue"/>
      </w:pPr>
      <w:r>
        <w:t>HIS HONOUR:  Yes?</w:t>
      </w:r>
    </w:p>
    <w:p w:rsidR="007C5CA7" w:rsidP="00173814" w:rsidRDefault="007C5CA7" w14:paraId="634AE351" w14:textId="77777777">
      <w:pPr>
        <w:pStyle w:val="DCJContinue"/>
      </w:pPr>
    </w:p>
    <w:p w:rsidR="007C5CA7" w:rsidP="00173814" w:rsidRDefault="007C5CA7" w14:paraId="4AFF8AAB" w14:textId="2A9BDEDF">
      <w:pPr>
        <w:pStyle w:val="DCJContinue"/>
      </w:pPr>
      <w:r>
        <w:t xml:space="preserve">WITHERS:  If your Honour’s embarrassed, your Honour can blame </w:t>
      </w:r>
      <w:r w:rsidR="00BA541E">
        <w:t xml:space="preserve">Ms Whittaker, </w:t>
      </w:r>
      <w:r>
        <w:t>but your Honour shouldn’t be.</w:t>
      </w:r>
    </w:p>
    <w:p w:rsidR="007C5CA7" w:rsidP="00173814" w:rsidRDefault="007C5CA7" w14:paraId="48779FB5" w14:textId="77777777">
      <w:pPr>
        <w:pStyle w:val="DCJContinue"/>
      </w:pPr>
    </w:p>
    <w:p w:rsidR="007C5CA7" w:rsidP="00173814" w:rsidRDefault="007C5CA7" w14:paraId="3036B793" w14:textId="77777777">
      <w:pPr>
        <w:pStyle w:val="DCJContinue"/>
      </w:pPr>
      <w:r>
        <w:t>HIS HONOUR:  Yes, all right?</w:t>
      </w:r>
    </w:p>
    <w:p w:rsidR="007C5CA7" w:rsidP="00173814" w:rsidRDefault="007C5CA7" w14:paraId="3E2D4D8E" w14:textId="77777777">
      <w:pPr>
        <w:pStyle w:val="DCJContinue"/>
      </w:pPr>
    </w:p>
    <w:p w:rsidR="007C5CA7" w:rsidP="00173814" w:rsidRDefault="007C5CA7" w14:paraId="6B05218A" w14:textId="77777777">
      <w:pPr>
        <w:pStyle w:val="DCJContinue"/>
      </w:pPr>
      <w:r>
        <w:t>WITHERS:  In particular, at para 25.</w:t>
      </w:r>
    </w:p>
    <w:p w:rsidR="007C5CA7" w:rsidP="00173814" w:rsidRDefault="007C5CA7" w14:paraId="3EE4ACFC" w14:textId="77777777">
      <w:pPr>
        <w:pStyle w:val="DCJContinue"/>
      </w:pPr>
    </w:p>
    <w:p w:rsidR="007C5CA7" w:rsidP="00173814" w:rsidRDefault="007C5CA7" w14:paraId="65CD1124" w14:textId="77777777">
      <w:pPr>
        <w:pStyle w:val="DCJContinue"/>
      </w:pPr>
      <w:r>
        <w:t>HIS HONOUR:  Paragraph 25?</w:t>
      </w:r>
    </w:p>
    <w:p w:rsidR="007C5CA7" w:rsidP="00173814" w:rsidRDefault="007C5CA7" w14:paraId="07178ADE" w14:textId="77777777">
      <w:pPr>
        <w:pStyle w:val="DCJContinue"/>
      </w:pPr>
    </w:p>
    <w:p w:rsidR="007C5CA7" w:rsidP="00173814" w:rsidRDefault="007C5CA7" w14:paraId="2D3712A2" w14:textId="77777777">
      <w:pPr>
        <w:pStyle w:val="DCJContinue"/>
      </w:pPr>
      <w:r>
        <w:t>WITHERS:  Yes, your Honour.</w:t>
      </w:r>
    </w:p>
    <w:p w:rsidR="007C5CA7" w:rsidP="00173814" w:rsidRDefault="007C5CA7" w14:paraId="34D29C3B" w14:textId="77777777">
      <w:pPr>
        <w:pStyle w:val="DCJContinue"/>
      </w:pPr>
    </w:p>
    <w:p w:rsidR="007C5CA7" w:rsidP="00173814" w:rsidRDefault="007C5CA7" w14:paraId="0EC052F0" w14:textId="77777777">
      <w:pPr>
        <w:pStyle w:val="DCJContinue"/>
      </w:pPr>
      <w:r>
        <w:t>HIS HONOUR:  Thank you.  Yes?</w:t>
      </w:r>
    </w:p>
    <w:p w:rsidR="007C5CA7" w:rsidP="00173814" w:rsidRDefault="007C5CA7" w14:paraId="033A69F4" w14:textId="77777777">
      <w:pPr>
        <w:pStyle w:val="DCJContinue"/>
      </w:pPr>
    </w:p>
    <w:p w:rsidR="007C5CA7" w:rsidP="00173814" w:rsidRDefault="007C5CA7" w14:paraId="72FF61EC" w14:textId="77777777">
      <w:pPr>
        <w:pStyle w:val="DCJContinue"/>
      </w:pPr>
      <w:r>
        <w:t>WITHERS:  In fact, it’s para 25 through to 33.</w:t>
      </w:r>
    </w:p>
    <w:p w:rsidR="007C5CA7" w:rsidP="00173814" w:rsidRDefault="007C5CA7" w14:paraId="4A5C81FD" w14:textId="77777777">
      <w:pPr>
        <w:pStyle w:val="DCJContinue"/>
      </w:pPr>
    </w:p>
    <w:p w:rsidR="007C5CA7" w:rsidP="00173814" w:rsidRDefault="007C5CA7" w14:paraId="59F39D00" w14:textId="77777777">
      <w:pPr>
        <w:pStyle w:val="DCJContinue"/>
      </w:pPr>
      <w:r>
        <w:t xml:space="preserve">HIS HONOUR:  Yes, well, happily, at para 29, I raised the first of questions which could, obviously, have been raised.  Just one moment.  Well, and this </w:t>
      </w:r>
      <w:r>
        <w:lastRenderedPageBreak/>
        <w:t>presumably draws us back to Hancur(?) to which you haven’t yet taken me but which it appears I was applying.  Yes, just a moment.  Yes, I see.</w:t>
      </w:r>
    </w:p>
    <w:p w:rsidR="007C5CA7" w:rsidP="00173814" w:rsidRDefault="007C5CA7" w14:paraId="71DAFDE3" w14:textId="77777777">
      <w:pPr>
        <w:pStyle w:val="DCJContinue"/>
      </w:pPr>
    </w:p>
    <w:p w:rsidR="007C5CA7" w:rsidP="00173814" w:rsidRDefault="007C5CA7" w14:paraId="794AD516" w14:textId="77777777">
      <w:pPr>
        <w:pStyle w:val="DCJContinue"/>
      </w:pPr>
      <w:r>
        <w:t>WITHERS:  As to the amounts, they will be in the form of liquidation expenses which would need to be actually specifically identified.</w:t>
      </w:r>
    </w:p>
    <w:p w:rsidR="007C5CA7" w:rsidP="00173814" w:rsidRDefault="007C5CA7" w14:paraId="46DDB549" w14:textId="77777777">
      <w:pPr>
        <w:pStyle w:val="DCJContinue"/>
      </w:pPr>
    </w:p>
    <w:p w:rsidR="007C5CA7" w:rsidP="00173814" w:rsidRDefault="007C5CA7" w14:paraId="42809AF2" w14:textId="77777777">
      <w:pPr>
        <w:pStyle w:val="DCJContinue"/>
      </w:pPr>
      <w:r>
        <w:t>HIS HONOUR:  Yes.</w:t>
      </w:r>
    </w:p>
    <w:p w:rsidR="007C5CA7" w:rsidP="00173814" w:rsidRDefault="007C5CA7" w14:paraId="5AC4FF31" w14:textId="77777777">
      <w:pPr>
        <w:pStyle w:val="DCJContinue"/>
      </w:pPr>
    </w:p>
    <w:p w:rsidR="007C5CA7" w:rsidP="00173814" w:rsidRDefault="007C5CA7" w14:paraId="527EED5E" w14:textId="72F638AF">
      <w:pPr>
        <w:pStyle w:val="DCJContinue"/>
      </w:pPr>
      <w:r>
        <w:t>WITHERS:  So it’s not impossible to have an application of that kind as my learned friend seemed to submit it was.  At this point, we say respectfully, your Honour, the time has come for an order to be made winding up the company.  I’m not actually moving on that application because your Honour’s considering their adjournment part first but enough time and opportunity has been given to the company to try to arrange an orderly sale process of the kind that Mr Hayes</w:t>
      </w:r>
      <w:r w:rsidR="001D7488">
        <w:t>(?)</w:t>
      </w:r>
      <w:r>
        <w:t xml:space="preserve"> says he wants to conduct.  The liquidator has secured funding for the liquidation process including the sale of the assets.  </w:t>
      </w:r>
    </w:p>
    <w:p w:rsidR="007C5CA7" w:rsidP="00173814" w:rsidRDefault="007C5CA7" w14:paraId="6A64FE92" w14:textId="77777777">
      <w:pPr>
        <w:pStyle w:val="DCJContinue"/>
      </w:pPr>
    </w:p>
    <w:p w:rsidR="007C5CA7" w:rsidP="00173814" w:rsidRDefault="007C5CA7" w14:paraId="3F87158F" w14:textId="77777777">
      <w:pPr>
        <w:pStyle w:val="DCJContinue"/>
      </w:pPr>
      <w:r>
        <w:t>There is enough degree of certainty about the availability of the funding for your Honour to conclude that it is a funded liquidation as compared to the alternative which is an administration involving the use of a funding arrangement that could come to an end at any time.  It’s at the whim of Clydesdale.  Your Honour doesn't know anything about the source of the actual funding that’s being used and the decision-making processes that are involved on behalf of Clydesdale and continuing to fund.  It could come to an end at any short period of time, at any time, and if that happens, then the company goes into immediate liquidation with all those what were described as catastrophic consequences that were set out in Mr Hayes’s affidavits.</w:t>
      </w:r>
    </w:p>
    <w:p w:rsidR="007C5CA7" w:rsidP="00173814" w:rsidRDefault="007C5CA7" w14:paraId="3C52E5B7" w14:textId="77777777">
      <w:pPr>
        <w:pStyle w:val="DCJContinue"/>
      </w:pPr>
    </w:p>
    <w:p w:rsidR="007C5CA7" w:rsidP="00173814" w:rsidRDefault="007C5CA7" w14:paraId="5343845B" w14:textId="77777777">
      <w:pPr>
        <w:pStyle w:val="DCJContinue"/>
      </w:pPr>
      <w:r>
        <w:t>The only final point I wish to note is that when Mr Hayes says in para 47 that--</w:t>
      </w:r>
    </w:p>
    <w:p w:rsidR="007C5CA7" w:rsidP="00173814" w:rsidRDefault="007C5CA7" w14:paraId="60397FF5" w14:textId="77777777">
      <w:pPr>
        <w:pStyle w:val="DCJContinue"/>
      </w:pPr>
    </w:p>
    <w:p w:rsidR="007C5CA7" w:rsidP="00173814" w:rsidRDefault="007C5CA7" w14:paraId="18EEBF3C" w14:textId="77777777">
      <w:pPr>
        <w:pStyle w:val="DCJContinue"/>
      </w:pPr>
      <w:r>
        <w:t xml:space="preserve">HIS HONOUR:  Of which affidavit? </w:t>
      </w:r>
    </w:p>
    <w:p w:rsidR="007C5CA7" w:rsidP="00173814" w:rsidRDefault="007C5CA7" w14:paraId="1A2B237C" w14:textId="77777777">
      <w:pPr>
        <w:pStyle w:val="DCJContinue"/>
      </w:pPr>
    </w:p>
    <w:p w:rsidR="007C5CA7" w:rsidP="00173814" w:rsidRDefault="007C5CA7" w14:paraId="03FD18DA" w14:textId="77777777">
      <w:pPr>
        <w:pStyle w:val="DCJContinue"/>
      </w:pPr>
      <w:r>
        <w:t>WITHERS:  I’m sorry, your Honour?</w:t>
      </w:r>
    </w:p>
    <w:p w:rsidR="007C5CA7" w:rsidP="00173814" w:rsidRDefault="007C5CA7" w14:paraId="1FAF1DA4" w14:textId="77777777">
      <w:pPr>
        <w:pStyle w:val="DCJContinue"/>
      </w:pPr>
    </w:p>
    <w:p w:rsidR="007C5CA7" w:rsidP="00173814" w:rsidRDefault="007C5CA7" w14:paraId="1C10EA22" w14:textId="77777777">
      <w:pPr>
        <w:pStyle w:val="DCJContinue"/>
      </w:pPr>
      <w:r>
        <w:t>HIS HONOUR:  Of which affidavit?</w:t>
      </w:r>
    </w:p>
    <w:p w:rsidR="007C5CA7" w:rsidP="00173814" w:rsidRDefault="007C5CA7" w14:paraId="4FF2CDC0" w14:textId="77777777">
      <w:pPr>
        <w:pStyle w:val="DCJContinue"/>
      </w:pPr>
    </w:p>
    <w:p w:rsidR="007C5CA7" w:rsidP="00173814" w:rsidRDefault="007C5CA7" w14:paraId="30CC2FD1" w14:textId="77777777">
      <w:pPr>
        <w:pStyle w:val="DCJContinue"/>
      </w:pPr>
      <w:r>
        <w:t>WITHERS:  Yes, I’m sorry, it’s the 3 March affidavit, para 47.</w:t>
      </w:r>
    </w:p>
    <w:p w:rsidR="007C5CA7" w:rsidP="00173814" w:rsidRDefault="007C5CA7" w14:paraId="24534270" w14:textId="77777777">
      <w:pPr>
        <w:pStyle w:val="DCJContinue"/>
      </w:pPr>
    </w:p>
    <w:p w:rsidR="007C5CA7" w:rsidP="00173814" w:rsidRDefault="007C5CA7" w14:paraId="2928908A" w14:textId="77777777">
      <w:pPr>
        <w:pStyle w:val="DCJContinue"/>
      </w:pPr>
      <w:r>
        <w:t>HIS HONOUR:  Yes, just one moment.  Yes?</w:t>
      </w:r>
    </w:p>
    <w:p w:rsidR="00520011" w:rsidP="00173814" w:rsidRDefault="00520011" w14:paraId="1A6FEF5B" w14:textId="77777777">
      <w:pPr>
        <w:pStyle w:val="DCJContinue"/>
        <w:sectPr w:rsidR="00520011" w:rsidSect="00004F86">
          <w:headerReference w:type="default" r:id="rId11"/>
          <w:type w:val="continuous"/>
          <w:pgSz w:w="11906" w:h="16838" w:code="9"/>
          <w:pgMar w:top="1418" w:right="1253" w:bottom="1412" w:left="2274" w:header="357" w:footer="851" w:gutter="0"/>
          <w:lnNumType w:countBy="5"/>
          <w:cols w:space="708"/>
          <w:docGrid w:linePitch="360"/>
        </w:sectPr>
      </w:pPr>
    </w:p>
    <w:p w:rsidR="007C5CA7" w:rsidP="00173814" w:rsidRDefault="007C5CA7" w14:paraId="143DCD69" w14:textId="77777777">
      <w:pPr>
        <w:pStyle w:val="DCJContinue"/>
      </w:pPr>
    </w:p>
    <w:p w:rsidR="007C5CA7" w:rsidP="00173814" w:rsidRDefault="007C5CA7" w14:paraId="21FDEF5E" w14:textId="77777777">
      <w:pPr>
        <w:pStyle w:val="DCJContinue"/>
      </w:pPr>
      <w:r>
        <w:t xml:space="preserve">WITHERS:  He says he’s looking for funding to arrange the sale process.  What he hasn’t given attention to in his affidavit is what happens if he does in fact form the view, this is in para 47, subpara 3, the value maximising transaction’s not possible.  In that case, he says that he would begin preparations to shut down the mine in an environmentally safe manner and recommend the creditors of the company be placed promptly into liquidation, but he hasn’t given your Honour evidence that would satisfy your Honour that there would be financial arrangements in place that would fund the company if it goes into liquidation and fund the maintenance expenses and the like.  We </w:t>
      </w:r>
      <w:r>
        <w:lastRenderedPageBreak/>
        <w:t>also know that the finances provided by Clydesdale terminates if the company goes into liquidation.</w:t>
      </w:r>
    </w:p>
    <w:p w:rsidR="007C5CA7" w:rsidP="00173814" w:rsidRDefault="007C5CA7" w14:paraId="25D4A1CC" w14:textId="77777777">
      <w:pPr>
        <w:pStyle w:val="DCJContinue"/>
      </w:pPr>
    </w:p>
    <w:p w:rsidR="007C5CA7" w:rsidP="00173814" w:rsidRDefault="007C5CA7" w14:paraId="694FCEDF" w14:textId="77777777">
      <w:pPr>
        <w:pStyle w:val="DCJContinue"/>
      </w:pPr>
      <w:r>
        <w:t>HIS HONOUR:  Yes.</w:t>
      </w:r>
    </w:p>
    <w:p w:rsidR="007C5CA7" w:rsidP="00173814" w:rsidRDefault="007C5CA7" w14:paraId="35C030F5" w14:textId="77777777">
      <w:pPr>
        <w:pStyle w:val="DCJContinue"/>
      </w:pPr>
    </w:p>
    <w:p w:rsidR="007C5CA7" w:rsidP="00173814" w:rsidRDefault="007C5CA7" w14:paraId="2922E8B8" w14:textId="77777777">
      <w:pPr>
        <w:pStyle w:val="DCJContinue"/>
      </w:pPr>
      <w:r>
        <w:t>WITHERS:  So those are my submissions.  I expect that tomorrow morning I will be asking to reopen to supply your Honour with some more documents.</w:t>
      </w:r>
    </w:p>
    <w:p w:rsidR="007C5CA7" w:rsidP="00173814" w:rsidRDefault="007C5CA7" w14:paraId="3B4699C9" w14:textId="77777777">
      <w:pPr>
        <w:pStyle w:val="DCJContinue"/>
      </w:pPr>
    </w:p>
    <w:p w:rsidR="007C5CA7" w:rsidP="00173814" w:rsidRDefault="007C5CA7" w14:paraId="1E867DAD" w14:textId="77777777">
      <w:pPr>
        <w:pStyle w:val="DCJContinue"/>
      </w:pPr>
      <w:r>
        <w:t>HIS HONOUR:  Yes, right.  Now, Mr Hynes, is the position that you still do not seek to be heard?</w:t>
      </w:r>
    </w:p>
    <w:p w:rsidR="007C5CA7" w:rsidP="00173814" w:rsidRDefault="007C5CA7" w14:paraId="28901E88" w14:textId="77777777">
      <w:pPr>
        <w:pStyle w:val="DCJContinue"/>
      </w:pPr>
    </w:p>
    <w:p w:rsidR="007C5CA7" w:rsidP="00173814" w:rsidRDefault="007C5CA7" w14:paraId="3BF0023A" w14:textId="77777777">
      <w:pPr>
        <w:pStyle w:val="DCJContinue"/>
      </w:pPr>
      <w:r>
        <w:t>HYNES:  It is.  My position is quite on the periphery now.  At first, we were very supportive of the application but as things have, to adjourn, as things have transpired, as I mentioned this morning, our sale process has now stopped, so our position is now that we neither support nor oppose the application.</w:t>
      </w:r>
    </w:p>
    <w:p w:rsidR="007C5CA7" w:rsidP="00173814" w:rsidRDefault="007C5CA7" w14:paraId="0192351B" w14:textId="77777777">
      <w:pPr>
        <w:pStyle w:val="DCJContinue"/>
      </w:pPr>
    </w:p>
    <w:p w:rsidR="007C5CA7" w:rsidP="00173814" w:rsidRDefault="007C5CA7" w14:paraId="610BEB9A" w14:textId="77777777">
      <w:pPr>
        <w:pStyle w:val="DCJContinue"/>
      </w:pPr>
      <w:r>
        <w:t>HIS HONOUR:  Yes.  Now, Mr Sulan, I’ll certainly hear you as to what you’re about to raise in terms of submissions in reply.  I was going to give you the opportunity to defer those to tomorrow morning if you wish to do so but that, particularly so far as, rightly or wrongly, the ground may change a little further between now and tomorrow morning but if you wish to be heard now on what you can to be heard now, I’m very happy to do that?</w:t>
      </w:r>
    </w:p>
    <w:p w:rsidR="007C5CA7" w:rsidP="00173814" w:rsidRDefault="007C5CA7" w14:paraId="215A65E4" w14:textId="77777777">
      <w:pPr>
        <w:pStyle w:val="DCJContinue"/>
      </w:pPr>
    </w:p>
    <w:p w:rsidR="007C5CA7" w:rsidP="00173814" w:rsidRDefault="007C5CA7" w14:paraId="24038CD5" w14:textId="77777777">
      <w:pPr>
        <w:pStyle w:val="DCJContinue"/>
      </w:pPr>
      <w:r>
        <w:t>SULAN:  I think what your Honour proposes is a sensible course, with respect.  There’s just one point I will flag now because it’s highly relevant to what might emerge tomorrow.</w:t>
      </w:r>
    </w:p>
    <w:p w:rsidR="007C5CA7" w:rsidP="00173814" w:rsidRDefault="007C5CA7" w14:paraId="373E9947" w14:textId="77777777">
      <w:pPr>
        <w:pStyle w:val="DCJContinue"/>
      </w:pPr>
    </w:p>
    <w:p w:rsidR="007C5CA7" w:rsidP="00173814" w:rsidRDefault="007C5CA7" w14:paraId="778B00B9" w14:textId="77777777">
      <w:pPr>
        <w:pStyle w:val="DCJContinue"/>
      </w:pPr>
      <w:r>
        <w:t>HIS HONOUR:  Yes?</w:t>
      </w:r>
    </w:p>
    <w:p w:rsidR="007C5CA7" w:rsidP="00173814" w:rsidRDefault="007C5CA7" w14:paraId="2AA7A16F" w14:textId="77777777">
      <w:pPr>
        <w:pStyle w:val="DCJContinue"/>
      </w:pPr>
    </w:p>
    <w:p w:rsidR="007C5CA7" w:rsidP="00173814" w:rsidRDefault="007C5CA7" w14:paraId="7BE8EC46" w14:textId="77777777">
      <w:pPr>
        <w:pStyle w:val="DCJContinue"/>
      </w:pPr>
      <w:r>
        <w:t>SULAN:  If your Honour takes up exhibit JH3 which is at tab 30(b) of the court book.</w:t>
      </w:r>
    </w:p>
    <w:p w:rsidR="007C5CA7" w:rsidP="00173814" w:rsidRDefault="007C5CA7" w14:paraId="31BD282D" w14:textId="77777777">
      <w:pPr>
        <w:pStyle w:val="DCJContinue"/>
      </w:pPr>
    </w:p>
    <w:p w:rsidR="007C5CA7" w:rsidP="00173814" w:rsidRDefault="007C5CA7" w14:paraId="40BB0BCE" w14:textId="77777777">
      <w:pPr>
        <w:pStyle w:val="DCJContinue"/>
      </w:pPr>
      <w:r>
        <w:t>HIS HONOUR:  Yes, just one moment.  Yes, I have that, thank you.</w:t>
      </w:r>
    </w:p>
    <w:p w:rsidR="007C5CA7" w:rsidP="00173814" w:rsidRDefault="007C5CA7" w14:paraId="62C0C649" w14:textId="77777777">
      <w:pPr>
        <w:pStyle w:val="DCJContinue"/>
      </w:pPr>
    </w:p>
    <w:p w:rsidR="007C5CA7" w:rsidP="00173814" w:rsidRDefault="007C5CA7" w14:paraId="1883C04E" w14:textId="77777777">
      <w:pPr>
        <w:pStyle w:val="DCJContinue"/>
      </w:pPr>
      <w:r>
        <w:t>SULAN:  Your Honour sees a letter from Holding Redlich who are acting for--</w:t>
      </w:r>
    </w:p>
    <w:p w:rsidR="007C5CA7" w:rsidP="00173814" w:rsidRDefault="007C5CA7" w14:paraId="11752563" w14:textId="77777777">
      <w:pPr>
        <w:pStyle w:val="DCJContinue"/>
      </w:pPr>
    </w:p>
    <w:p w:rsidR="007C5CA7" w:rsidP="00173814" w:rsidRDefault="007C5CA7" w14:paraId="56281184" w14:textId="77777777">
      <w:pPr>
        <w:pStyle w:val="DCJContinue"/>
      </w:pPr>
      <w:r>
        <w:t>HIS HONOUR:  Could I have the page number?</w:t>
      </w:r>
    </w:p>
    <w:p w:rsidR="007C5CA7" w:rsidP="00173814" w:rsidRDefault="007C5CA7" w14:paraId="5A34EAE4" w14:textId="77777777">
      <w:pPr>
        <w:pStyle w:val="DCJContinue"/>
      </w:pPr>
    </w:p>
    <w:p w:rsidR="007C5CA7" w:rsidP="00173814" w:rsidRDefault="007C5CA7" w14:paraId="3B2402EC" w14:textId="77777777">
      <w:pPr>
        <w:pStyle w:val="DCJContinue"/>
      </w:pPr>
      <w:r>
        <w:t>SULAN:  Sorry, p 51.</w:t>
      </w:r>
    </w:p>
    <w:p w:rsidR="007C5CA7" w:rsidP="00173814" w:rsidRDefault="007C5CA7" w14:paraId="6F90E642" w14:textId="77777777">
      <w:pPr>
        <w:pStyle w:val="DCJContinue"/>
      </w:pPr>
    </w:p>
    <w:p w:rsidR="007C5CA7" w:rsidP="00173814" w:rsidRDefault="007C5CA7" w14:paraId="24DE599B" w14:textId="77777777">
      <w:pPr>
        <w:pStyle w:val="DCJContinue"/>
      </w:pPr>
      <w:r>
        <w:t>HIS HONOUR:  Yes?</w:t>
      </w:r>
    </w:p>
    <w:p w:rsidR="007C5CA7" w:rsidP="00173814" w:rsidRDefault="007C5CA7" w14:paraId="01204AE1" w14:textId="77777777">
      <w:pPr>
        <w:pStyle w:val="DCJContinue"/>
      </w:pPr>
    </w:p>
    <w:p w:rsidR="007C5CA7" w:rsidP="00173814" w:rsidRDefault="007C5CA7" w14:paraId="4EE55CB9" w14:textId="77777777">
      <w:pPr>
        <w:pStyle w:val="DCJContinue"/>
      </w:pPr>
      <w:r>
        <w:t>SULAN:  Your Honour sees a letter from Holding Redlich who are acting for the State Minister.  Does your Honour have that?</w:t>
      </w:r>
    </w:p>
    <w:p w:rsidR="00520011" w:rsidP="00173814" w:rsidRDefault="00520011" w14:paraId="6805319E" w14:textId="77777777">
      <w:pPr>
        <w:pStyle w:val="DCJContinue"/>
        <w:sectPr w:rsidR="00520011" w:rsidSect="00004F86">
          <w:footerReference w:type="default" r:id="rId12"/>
          <w:type w:val="continuous"/>
          <w:pgSz w:w="11906" w:h="16838" w:code="9"/>
          <w:pgMar w:top="1418" w:right="1253" w:bottom="1412" w:left="2274" w:header="357" w:footer="851" w:gutter="0"/>
          <w:lnNumType w:countBy="5"/>
          <w:cols w:space="708"/>
          <w:docGrid w:linePitch="360"/>
        </w:sectPr>
      </w:pPr>
    </w:p>
    <w:p w:rsidR="007C5CA7" w:rsidP="00173814" w:rsidRDefault="007C5CA7" w14:paraId="50230DE2" w14:textId="77777777">
      <w:pPr>
        <w:pStyle w:val="DCJContinue"/>
      </w:pPr>
    </w:p>
    <w:p w:rsidR="007C5CA7" w:rsidP="00173814" w:rsidRDefault="007C5CA7" w14:paraId="6BD872E3" w14:textId="77777777">
      <w:pPr>
        <w:pStyle w:val="DCJContinue"/>
      </w:pPr>
      <w:r>
        <w:t>HIS HONOUR:  I see, yes.</w:t>
      </w:r>
    </w:p>
    <w:p w:rsidR="007C5CA7" w:rsidP="00173814" w:rsidRDefault="007C5CA7" w14:paraId="69BC5BDC" w14:textId="77777777">
      <w:pPr>
        <w:pStyle w:val="DCJContinue"/>
      </w:pPr>
    </w:p>
    <w:p w:rsidR="007C5CA7" w:rsidP="00173814" w:rsidRDefault="007C5CA7" w14:paraId="7A1CE840" w14:textId="77777777">
      <w:pPr>
        <w:pStyle w:val="DCJContinue"/>
      </w:pPr>
      <w:r>
        <w:lastRenderedPageBreak/>
        <w:t>SULAN:  At para 7, he notes, or the minister’s solicitors note that the minister’s made an order under the Mining Act, this is in respect of unpaid royalties, does your Honour have that?</w:t>
      </w:r>
    </w:p>
    <w:p w:rsidR="007C5CA7" w:rsidP="00173814" w:rsidRDefault="007C5CA7" w14:paraId="4206DD94" w14:textId="77777777">
      <w:pPr>
        <w:pStyle w:val="DCJContinue"/>
      </w:pPr>
    </w:p>
    <w:p w:rsidR="007C5CA7" w:rsidP="00173814" w:rsidRDefault="007C5CA7" w14:paraId="1C6F5A33" w14:textId="77777777">
      <w:pPr>
        <w:pStyle w:val="DCJContinue"/>
      </w:pPr>
      <w:r>
        <w:t>HIS HONOUR:  Yes.</w:t>
      </w:r>
    </w:p>
    <w:p w:rsidR="007C5CA7" w:rsidP="00173814" w:rsidRDefault="007C5CA7" w14:paraId="76E40B6C" w14:textId="77777777">
      <w:pPr>
        <w:pStyle w:val="DCJContinue"/>
      </w:pPr>
    </w:p>
    <w:p w:rsidR="007C5CA7" w:rsidP="00173814" w:rsidRDefault="007C5CA7" w14:paraId="25973794" w14:textId="77777777">
      <w:pPr>
        <w:pStyle w:val="DCJContinue"/>
      </w:pPr>
      <w:r>
        <w:t>SULAN:  And that in para 11, considering bringing an application to a point of receiver, and in 14, approaching the duty judge, et cetera.  If one then takes up the funding agreement that is proposed to be signed overnight, Mr Fraser is the borrower along with a company is proposing to give a representation of warranty in 9.1(c) of the funding agreement that the company has not breached any applicable law or regulation, et cetera.</w:t>
      </w:r>
    </w:p>
    <w:p w:rsidR="007C5CA7" w:rsidP="00173814" w:rsidRDefault="007C5CA7" w14:paraId="353C00A8" w14:textId="77777777">
      <w:pPr>
        <w:pStyle w:val="DCJContinue"/>
      </w:pPr>
    </w:p>
    <w:p w:rsidR="007C5CA7" w:rsidP="00173814" w:rsidRDefault="007C5CA7" w14:paraId="59F20957" w14:textId="77777777">
      <w:pPr>
        <w:pStyle w:val="DCJContinue"/>
      </w:pPr>
      <w:r>
        <w:t>HIS HONOUR:  Just one moment if you don’t mind.  A warranty in where?</w:t>
      </w:r>
    </w:p>
    <w:p w:rsidR="007C5CA7" w:rsidP="00173814" w:rsidRDefault="007C5CA7" w14:paraId="355D466B" w14:textId="77777777">
      <w:pPr>
        <w:pStyle w:val="DCJContinue"/>
      </w:pPr>
    </w:p>
    <w:p w:rsidR="007C5CA7" w:rsidP="00173814" w:rsidRDefault="007C5CA7" w14:paraId="56633B5B" w14:textId="77777777">
      <w:pPr>
        <w:pStyle w:val="DCJContinue"/>
      </w:pPr>
      <w:r>
        <w:t>SULAN:  Clause 9.1(c).</w:t>
      </w:r>
    </w:p>
    <w:p w:rsidR="007C5CA7" w:rsidP="00173814" w:rsidRDefault="007C5CA7" w14:paraId="37E8ECA6" w14:textId="77777777">
      <w:pPr>
        <w:pStyle w:val="DCJContinue"/>
      </w:pPr>
    </w:p>
    <w:p w:rsidR="007C5CA7" w:rsidP="00173814" w:rsidRDefault="007C5CA7" w14:paraId="7DCB66EE" w14:textId="77777777">
      <w:pPr>
        <w:pStyle w:val="DCJContinue"/>
      </w:pPr>
      <w:r>
        <w:t>HIS HONOUR:  Yes, give me just one moment.  Yes?</w:t>
      </w:r>
    </w:p>
    <w:p w:rsidR="007C5CA7" w:rsidP="00173814" w:rsidRDefault="007C5CA7" w14:paraId="7F38B55D" w14:textId="77777777">
      <w:pPr>
        <w:pStyle w:val="DCJContinue"/>
      </w:pPr>
    </w:p>
    <w:p w:rsidR="007C5CA7" w:rsidP="00173814" w:rsidRDefault="007C5CA7" w14:paraId="3D92A932" w14:textId="77777777">
      <w:pPr>
        <w:pStyle w:val="DCJContinue"/>
      </w:pPr>
      <w:r>
        <w:t>SULAN:  Obviously, it’s a matter for my learned friends to reflect--</w:t>
      </w:r>
    </w:p>
    <w:p w:rsidR="007C5CA7" w:rsidP="00173814" w:rsidRDefault="007C5CA7" w14:paraId="3E71B91B" w14:textId="77777777">
      <w:pPr>
        <w:pStyle w:val="DCJContinue"/>
      </w:pPr>
    </w:p>
    <w:p w:rsidR="007C5CA7" w:rsidP="00173814" w:rsidRDefault="007C5CA7" w14:paraId="2BD727C3" w14:textId="77777777">
      <w:pPr>
        <w:pStyle w:val="DCJContinue"/>
      </w:pPr>
      <w:r>
        <w:t>HIS HONOUR:  And it says to compliance with law, yes?</w:t>
      </w:r>
    </w:p>
    <w:p w:rsidR="007C5CA7" w:rsidP="00173814" w:rsidRDefault="007C5CA7" w14:paraId="781D2D57" w14:textId="77777777">
      <w:pPr>
        <w:pStyle w:val="DCJContinue"/>
      </w:pPr>
    </w:p>
    <w:p w:rsidR="007C5CA7" w:rsidP="00173814" w:rsidRDefault="007C5CA7" w14:paraId="33152619" w14:textId="660D9B0A">
      <w:pPr>
        <w:pStyle w:val="DCJContinue"/>
      </w:pPr>
      <w:r>
        <w:t>SULAN:  Yes, including, we would say, the Mining Act.  Obviously, my learned friends can reflect on that but part of their case is they’ll bring an application immediately for approval of this funding agreement which may be problematic if that warranty is in play and the events of default include the defined events of default which will seek to pick up in cl 11.1</w:t>
      </w:r>
      <w:r w:rsidR="00F1443C">
        <w:t>, being 11.1</w:t>
      </w:r>
      <w:r>
        <w:t>D.</w:t>
      </w:r>
    </w:p>
    <w:p w:rsidR="007C5CA7" w:rsidP="00173814" w:rsidRDefault="007C5CA7" w14:paraId="4D6357EF" w14:textId="77777777">
      <w:pPr>
        <w:pStyle w:val="DCJContinue"/>
      </w:pPr>
    </w:p>
    <w:p w:rsidR="007C5CA7" w:rsidP="00173814" w:rsidRDefault="007C5CA7" w14:paraId="77315745" w14:textId="77777777">
      <w:pPr>
        <w:pStyle w:val="DCJContinue"/>
      </w:pPr>
      <w:r>
        <w:t>HIS HONOUR:  Yes.</w:t>
      </w:r>
    </w:p>
    <w:p w:rsidR="007C5CA7" w:rsidP="00173814" w:rsidRDefault="007C5CA7" w14:paraId="3AEDDE0A" w14:textId="77777777">
      <w:pPr>
        <w:pStyle w:val="DCJContinue"/>
      </w:pPr>
    </w:p>
    <w:p w:rsidR="007C5CA7" w:rsidP="00173814" w:rsidRDefault="00BA541E" w14:paraId="526BF5BB" w14:textId="5F996D30">
      <w:pPr>
        <w:pStyle w:val="DCJContinue"/>
      </w:pPr>
      <w:r>
        <w:t>SULAN:</w:t>
      </w:r>
      <w:r w:rsidR="007C5CA7">
        <w:t xml:space="preserve">  Made misrepresentations, et cetera, which is obviously standard but could be problematic in light of the Minister’s letter.  And there’s also the prospect of an event of default, including the appointment of a receiver, The same point that I referred to earlier that Mr Withers, I don’t think, has addressed on.  Namely, the fact of a receiver being appointed equals event of default.  It’s not just Oaktree, whose debt is disclosed in the evidence as being I think about $30 million, and I’ll take your Honour to that.  But it’s the prospect of a Minister appointing a receiver that will give rise to an event of default.</w:t>
      </w:r>
    </w:p>
    <w:p w:rsidR="007C5CA7" w:rsidP="00173814" w:rsidRDefault="007C5CA7" w14:paraId="12BEE772" w14:textId="77777777">
      <w:pPr>
        <w:pStyle w:val="DCJContinue"/>
      </w:pPr>
    </w:p>
    <w:p w:rsidR="007C5CA7" w:rsidP="00173814" w:rsidRDefault="007C5CA7" w14:paraId="40C1B218" w14:textId="77777777">
      <w:pPr>
        <w:pStyle w:val="DCJContinue"/>
      </w:pPr>
      <w:r>
        <w:t>HIS HONOUR:  Now, just one moment.  If we go back to - that letter was where?</w:t>
      </w:r>
    </w:p>
    <w:p w:rsidR="007C5CA7" w:rsidP="00173814" w:rsidRDefault="007C5CA7" w14:paraId="61DA069A" w14:textId="77777777">
      <w:pPr>
        <w:pStyle w:val="DCJContinue"/>
      </w:pPr>
    </w:p>
    <w:p w:rsidR="007C5CA7" w:rsidP="00173814" w:rsidRDefault="00BA541E" w14:paraId="043C3184" w14:textId="59F2CF92">
      <w:pPr>
        <w:pStyle w:val="DCJContinue"/>
      </w:pPr>
      <w:r>
        <w:t>SULAN:</w:t>
      </w:r>
      <w:r w:rsidR="007C5CA7">
        <w:t xml:space="preserve">  The Minister’s letter?</w:t>
      </w:r>
    </w:p>
    <w:p w:rsidR="007C5CA7" w:rsidP="00173814" w:rsidRDefault="007C5CA7" w14:paraId="14445A31" w14:textId="77777777">
      <w:pPr>
        <w:pStyle w:val="DCJContinue"/>
      </w:pPr>
    </w:p>
    <w:p w:rsidR="007C5CA7" w:rsidP="00173814" w:rsidRDefault="007C5CA7" w14:paraId="1D44B6FC" w14:textId="77777777">
      <w:pPr>
        <w:pStyle w:val="DCJContinue"/>
      </w:pPr>
      <w:r>
        <w:t>HIS HONOUR:  Yes.</w:t>
      </w:r>
    </w:p>
    <w:p w:rsidR="007C5CA7" w:rsidP="00173814" w:rsidRDefault="007C5CA7" w14:paraId="702CA953" w14:textId="77777777">
      <w:pPr>
        <w:pStyle w:val="DCJContinue"/>
      </w:pPr>
    </w:p>
    <w:p w:rsidR="007C5CA7" w:rsidP="00173814" w:rsidRDefault="00BA541E" w14:paraId="7C68D5CD" w14:textId="08215D62">
      <w:pPr>
        <w:pStyle w:val="DCJContinue"/>
      </w:pPr>
      <w:r>
        <w:t>SULAN:</w:t>
      </w:r>
      <w:r w:rsidR="007C5CA7">
        <w:t xml:space="preserve">  Minister’s solicitor’s letter is JH3, page 51.</w:t>
      </w:r>
    </w:p>
    <w:p w:rsidR="007C5CA7" w:rsidP="00173814" w:rsidRDefault="007C5CA7" w14:paraId="5CDF1507" w14:textId="77777777">
      <w:pPr>
        <w:pStyle w:val="DCJContinue"/>
      </w:pPr>
    </w:p>
    <w:p w:rsidR="007C5CA7" w:rsidP="00173814" w:rsidRDefault="007C5CA7" w14:paraId="75369B9C" w14:textId="77777777">
      <w:pPr>
        <w:pStyle w:val="DCJContinue"/>
      </w:pPr>
      <w:r>
        <w:lastRenderedPageBreak/>
        <w:t>HIS HONOUR:  Yes, I have that.  Just one moment.  Is there an allegation of breach of the law here?</w:t>
      </w:r>
    </w:p>
    <w:p w:rsidR="007C5CA7" w:rsidP="00173814" w:rsidRDefault="007C5CA7" w14:paraId="4AFCA95B" w14:textId="77777777">
      <w:pPr>
        <w:pStyle w:val="DCJContinue"/>
      </w:pPr>
    </w:p>
    <w:p w:rsidR="007C5CA7" w:rsidP="00173814" w:rsidRDefault="00BA541E" w14:paraId="59F9E14C" w14:textId="3BB1A666">
      <w:pPr>
        <w:pStyle w:val="DCJContinue"/>
      </w:pPr>
      <w:r>
        <w:t>SULAN:</w:t>
      </w:r>
      <w:r w:rsidR="007C5CA7">
        <w:t xml:space="preserve">  I think there’s - we can address it further in the morning but I think there’s provisions in the Mining Act to the effect that the failure to pay royalties is a breach of the Act.  Which would be unsurprising.  </w:t>
      </w:r>
    </w:p>
    <w:p w:rsidR="007C5CA7" w:rsidP="00173814" w:rsidRDefault="007C5CA7" w14:paraId="62450742" w14:textId="77777777">
      <w:pPr>
        <w:pStyle w:val="DCJContinue"/>
      </w:pPr>
    </w:p>
    <w:p w:rsidR="007C5CA7" w:rsidP="00173814" w:rsidRDefault="007C5CA7" w14:paraId="0D346956" w14:textId="77777777">
      <w:pPr>
        <w:pStyle w:val="DCJContinue"/>
      </w:pPr>
      <w:r>
        <w:t>HIS HONOUR:  Yes, well, that’s the step sitting in the middle of the argument, really.</w:t>
      </w:r>
    </w:p>
    <w:p w:rsidR="007C5CA7" w:rsidP="00173814" w:rsidRDefault="007C5CA7" w14:paraId="2EB9D379" w14:textId="77777777">
      <w:pPr>
        <w:pStyle w:val="DCJContinue"/>
      </w:pPr>
    </w:p>
    <w:p w:rsidR="007C5CA7" w:rsidP="00173814" w:rsidRDefault="00BA541E" w14:paraId="29F28A85" w14:textId="23178B73">
      <w:pPr>
        <w:pStyle w:val="DCJContinue"/>
      </w:pPr>
      <w:r>
        <w:t>SULAN:</w:t>
      </w:r>
      <w:r w:rsidR="007C5CA7">
        <w:t xml:space="preserve">  Yes.  But points up why the signing of this agreement might not just be a formality, because obviously enough, whoever’s providing opinions and the like will need to reflect on these matters.  So we wait to see what emerges, but that seems to us to be part of the ...(not transcribable)… of matters that would be relevant to your Honour, including on the question of whether your Honour should permit Mr Hayes, in all the circumstances, to have a short period of time to see if he can consider alternate funding.  But I’ll address that further tomorrow.</w:t>
      </w:r>
    </w:p>
    <w:p w:rsidR="007C5CA7" w:rsidP="00173814" w:rsidRDefault="007C5CA7" w14:paraId="58B8E7AE" w14:textId="77777777">
      <w:pPr>
        <w:pStyle w:val="DCJContinue"/>
      </w:pPr>
    </w:p>
    <w:p w:rsidR="007C5CA7" w:rsidP="00173814" w:rsidRDefault="007C5CA7" w14:paraId="489CF678" w14:textId="77777777">
      <w:pPr>
        <w:pStyle w:val="DCJContinue"/>
      </w:pPr>
      <w:r>
        <w:t xml:space="preserve">HIS HONOUR:  Yes.  </w:t>
      </w:r>
    </w:p>
    <w:p w:rsidR="007C5CA7" w:rsidP="00173814" w:rsidRDefault="007C5CA7" w14:paraId="48A847E3" w14:textId="77777777">
      <w:pPr>
        <w:pStyle w:val="DCJContinue"/>
      </w:pPr>
    </w:p>
    <w:p w:rsidR="007C5CA7" w:rsidP="00173814" w:rsidRDefault="00BA541E" w14:paraId="7ADAB7B0" w14:textId="69340DB6">
      <w:pPr>
        <w:pStyle w:val="DCJContinue"/>
      </w:pPr>
      <w:r>
        <w:t>SULAN:</w:t>
      </w:r>
      <w:r w:rsidR="007C5CA7">
        <w:t xml:space="preserve">  Thank your Honour.</w:t>
      </w:r>
    </w:p>
    <w:p w:rsidR="007C5CA7" w:rsidP="00173814" w:rsidRDefault="007C5CA7" w14:paraId="33C5CE2E" w14:textId="77777777">
      <w:pPr>
        <w:pStyle w:val="DCJContinue"/>
      </w:pPr>
    </w:p>
    <w:p w:rsidR="007C5CA7" w:rsidP="00173814" w:rsidRDefault="007C5CA7" w14:paraId="46837C46" w14:textId="77777777">
      <w:pPr>
        <w:pStyle w:val="DCJContinue"/>
      </w:pPr>
      <w:r>
        <w:t>HIS HONOUR:  I thank counsel for their submissions today.  The Court will adjourn in this matter to not before 10.30 tomorrow.  Regrettably I think tomorrow we will have to just continue until we then complete.</w:t>
      </w:r>
    </w:p>
    <w:p w:rsidR="007C5CA7" w:rsidP="00173814" w:rsidRDefault="007C5CA7" w14:paraId="3D4360CC" w14:textId="77777777">
      <w:pPr>
        <w:pStyle w:val="DCJContinue"/>
      </w:pPr>
    </w:p>
    <w:p w:rsidR="007C5CA7" w:rsidP="00173814" w:rsidRDefault="00BA541E" w14:paraId="5CE54401" w14:textId="416C9B34">
      <w:pPr>
        <w:pStyle w:val="DCJContinue"/>
      </w:pPr>
      <w:r>
        <w:t>SULAN:</w:t>
      </w:r>
      <w:r w:rsidR="007C5CA7">
        <w:t xml:space="preserve">  There is one formal matter, being these orders that were going to expire at 5pm, I think.  </w:t>
      </w:r>
    </w:p>
    <w:p w:rsidR="007C5CA7" w:rsidP="00173814" w:rsidRDefault="007C5CA7" w14:paraId="626EC8A8" w14:textId="77777777">
      <w:pPr>
        <w:pStyle w:val="DCJContinue"/>
      </w:pPr>
    </w:p>
    <w:p w:rsidR="007C5CA7" w:rsidP="00173814" w:rsidRDefault="007C5CA7" w14:paraId="4F14BD42" w14:textId="77777777">
      <w:pPr>
        <w:pStyle w:val="DCJContinue"/>
      </w:pPr>
      <w:r>
        <w:t>HIS HONOUR:  I’m afraid - what was it that was going to expire to 5pm?</w:t>
      </w:r>
    </w:p>
    <w:p w:rsidR="007C5CA7" w:rsidP="00173814" w:rsidRDefault="007C5CA7" w14:paraId="69AD59DA" w14:textId="77777777">
      <w:pPr>
        <w:pStyle w:val="DCJContinue"/>
      </w:pPr>
    </w:p>
    <w:p w:rsidR="007C5CA7" w:rsidP="00173814" w:rsidRDefault="00BA541E" w14:paraId="3A5CE7F9" w14:textId="1F8A2EBF">
      <w:pPr>
        <w:pStyle w:val="DCJContinue"/>
      </w:pPr>
      <w:r>
        <w:t>SULAN:</w:t>
      </w:r>
      <w:r w:rsidR="007C5CA7">
        <w:t xml:space="preserve">  The orders of 18 February, which concern the administrator’s personal liability.  I think if your Honour was prepared to extend - they’re the orders of 18 February.  Order 2--</w:t>
      </w:r>
    </w:p>
    <w:p w:rsidR="007C5CA7" w:rsidP="00173814" w:rsidRDefault="007C5CA7" w14:paraId="193C04E4" w14:textId="77777777">
      <w:pPr>
        <w:pStyle w:val="DCJContinue"/>
      </w:pPr>
    </w:p>
    <w:p w:rsidR="007C5CA7" w:rsidP="00173814" w:rsidRDefault="007C5CA7" w14:paraId="2E94529B" w14:textId="77777777">
      <w:pPr>
        <w:pStyle w:val="DCJContinue"/>
      </w:pPr>
      <w:r>
        <w:t>HIS HONOUR:  I have that.</w:t>
      </w:r>
    </w:p>
    <w:p w:rsidR="007C5CA7" w:rsidP="00173814" w:rsidRDefault="007C5CA7" w14:paraId="0B31CB7E" w14:textId="77777777">
      <w:pPr>
        <w:pStyle w:val="DCJContinue"/>
      </w:pPr>
    </w:p>
    <w:p w:rsidR="007C5CA7" w:rsidP="00173814" w:rsidRDefault="00BA541E" w14:paraId="105869AF" w14:textId="666EE0ED">
      <w:pPr>
        <w:pStyle w:val="DCJContinue"/>
      </w:pPr>
      <w:r>
        <w:t>SULAN:</w:t>
      </w:r>
      <w:r w:rsidR="007C5CA7">
        <w:t xml:space="preserve">  --A through to C, which has a date of 5 March in each of A, B and C.  If your Honour was prepared to extend the operation of those orders to 5pm on 6 March.  </w:t>
      </w:r>
    </w:p>
    <w:p w:rsidR="007C5CA7" w:rsidP="00173814" w:rsidRDefault="007C5CA7" w14:paraId="2ADB07F0" w14:textId="77777777">
      <w:pPr>
        <w:pStyle w:val="DCJContinue"/>
      </w:pPr>
    </w:p>
    <w:p w:rsidR="007C5CA7" w:rsidP="00173814" w:rsidRDefault="007C5CA7" w14:paraId="2FCC3FDB" w14:textId="77777777">
      <w:pPr>
        <w:pStyle w:val="DCJContinue"/>
      </w:pPr>
      <w:r>
        <w:t>HIS HONOUR:  I should indicate to the parties that I would be inclined to make that order on the straightforward basis that it is an order that is necessary for the just determination of this application.  Is there any objection to that course?</w:t>
      </w:r>
    </w:p>
    <w:p w:rsidR="00520011" w:rsidP="00173814" w:rsidRDefault="00520011" w14:paraId="07A5530F" w14:textId="77777777">
      <w:pPr>
        <w:pStyle w:val="DCJContinue"/>
        <w:sectPr w:rsidR="00520011" w:rsidSect="00004F86">
          <w:footerReference w:type="default" r:id="rId13"/>
          <w:type w:val="continuous"/>
          <w:pgSz w:w="11906" w:h="16838" w:code="9"/>
          <w:pgMar w:top="1418" w:right="1253" w:bottom="1412" w:left="2274" w:header="357" w:footer="851" w:gutter="0"/>
          <w:lnNumType w:countBy="5"/>
          <w:cols w:space="708"/>
          <w:docGrid w:linePitch="360"/>
        </w:sectPr>
      </w:pPr>
    </w:p>
    <w:p w:rsidR="007C5CA7" w:rsidP="00173814" w:rsidRDefault="007C5CA7" w14:paraId="49BA7AD7" w14:textId="77777777">
      <w:pPr>
        <w:pStyle w:val="DCJContinue"/>
      </w:pPr>
    </w:p>
    <w:p w:rsidR="007C5CA7" w:rsidP="00173814" w:rsidRDefault="007C5CA7" w14:paraId="1207727C" w14:textId="77777777">
      <w:pPr>
        <w:pStyle w:val="DCJContinue"/>
      </w:pPr>
      <w:r>
        <w:t xml:space="preserve">I order that, noting that five minutes of personal liability may have intruded, I order that - no, withdraw that.  I order nunc pro tunc, that: </w:t>
      </w:r>
    </w:p>
    <w:p w:rsidR="007C5CA7" w:rsidP="00173814" w:rsidRDefault="007C5CA7" w14:paraId="42BFB37F" w14:textId="77777777">
      <w:pPr>
        <w:pStyle w:val="DCJContinue"/>
      </w:pPr>
    </w:p>
    <w:p w:rsidR="007C5CA7" w:rsidP="00173814" w:rsidRDefault="007C5CA7" w14:paraId="4F55EEAB" w14:textId="77777777">
      <w:pPr>
        <w:pStyle w:val="DCJContinue"/>
      </w:pPr>
      <w:r>
        <w:lastRenderedPageBreak/>
        <w:t>1.  Order 2 made on 18 February 2026 be varied to replace “5 March 2026” in each of paragraphs A, B and C with “6 March 2026”.</w:t>
      </w:r>
    </w:p>
    <w:p w:rsidR="007C5CA7" w:rsidP="00173814" w:rsidRDefault="007C5CA7" w14:paraId="2EB206AA" w14:textId="77777777">
      <w:pPr>
        <w:pStyle w:val="DCJContinue"/>
      </w:pPr>
    </w:p>
    <w:p w:rsidR="007C5CA7" w:rsidP="00173814" w:rsidRDefault="007C5CA7" w14:paraId="7EB67ADA" w14:textId="77777777">
      <w:pPr>
        <w:pStyle w:val="DCJContinue"/>
      </w:pPr>
      <w:r>
        <w:t xml:space="preserve">2.  Stand over the proceedings to not before 10.30am before Black J on 6 March 2026.  </w:t>
      </w:r>
    </w:p>
    <w:p w:rsidR="007C5CA7" w:rsidP="00173814" w:rsidRDefault="007C5CA7" w14:paraId="3993E7E5" w14:textId="77777777">
      <w:pPr>
        <w:pStyle w:val="DCJContinue"/>
      </w:pPr>
    </w:p>
    <w:p w:rsidR="007C5CA7" w:rsidP="00173814" w:rsidRDefault="007C5CA7" w14:paraId="7A3408D7" w14:textId="77777777">
      <w:pPr>
        <w:pStyle w:val="DCJContinue"/>
      </w:pPr>
      <w:r>
        <w:t xml:space="preserve">3.  These orders be entered forthwith.  </w:t>
      </w:r>
    </w:p>
    <w:p w:rsidR="007C5CA7" w:rsidP="00173814" w:rsidRDefault="007C5CA7" w14:paraId="39441957" w14:textId="77777777">
      <w:pPr>
        <w:pStyle w:val="DCJContinue"/>
      </w:pPr>
    </w:p>
    <w:p w:rsidR="007C5CA7" w:rsidP="00173814" w:rsidRDefault="00BA541E" w14:paraId="048CF48D" w14:textId="54169BBD">
      <w:pPr>
        <w:pStyle w:val="DCJContinue"/>
      </w:pPr>
      <w:r>
        <w:t>SULAN:</w:t>
      </w:r>
      <w:r w:rsidR="007C5CA7">
        <w:t xml:space="preserve">  Please the Court.  </w:t>
      </w:r>
    </w:p>
    <w:p w:rsidR="007C5CA7" w:rsidP="00173814" w:rsidRDefault="007C5CA7" w14:paraId="2E8E85D0" w14:textId="77777777">
      <w:pPr>
        <w:pStyle w:val="DCJContinue"/>
      </w:pPr>
    </w:p>
    <w:p w:rsidR="007C5CA7" w:rsidP="00173814" w:rsidRDefault="007C5CA7" w14:paraId="2CB04612" w14:textId="77777777">
      <w:pPr>
        <w:pStyle w:val="DCJContinue"/>
      </w:pPr>
      <w:r>
        <w:t>HIS HONOUR:  Thank you for - now, yes, Mr Hynes?</w:t>
      </w:r>
    </w:p>
    <w:p w:rsidR="007C5CA7" w:rsidP="00173814" w:rsidRDefault="007C5CA7" w14:paraId="017CDB49" w14:textId="77777777">
      <w:pPr>
        <w:pStyle w:val="DCJContinue"/>
      </w:pPr>
    </w:p>
    <w:p w:rsidR="007C5CA7" w:rsidP="00173814" w:rsidRDefault="007C5CA7" w14:paraId="2DF54295" w14:textId="77777777">
      <w:pPr>
        <w:pStyle w:val="DCJContinue"/>
      </w:pPr>
      <w:r>
        <w:t>HYNES:  Noting I’m not a party, so I raise this out of courtesy.  Given my client’s position, I propose to be excused from the matter tomorrow morning.</w:t>
      </w:r>
    </w:p>
    <w:p w:rsidR="007C5CA7" w:rsidP="00173814" w:rsidRDefault="007C5CA7" w14:paraId="35081769" w14:textId="77777777">
      <w:pPr>
        <w:pStyle w:val="DCJContinue"/>
      </w:pPr>
    </w:p>
    <w:p w:rsidR="007C5CA7" w:rsidP="00173814" w:rsidRDefault="007C5CA7" w14:paraId="1276EEDA" w14:textId="77777777">
      <w:pPr>
        <w:pStyle w:val="DCJContinue"/>
      </w:pPr>
      <w:r>
        <w:t>HIS HONOUR:  Absolutely.  I should indicate to all parties who have appeared, both Mr Hynes and those supporting creditors who have endured and are still with us, anyone who does not wish to attend tomorrow is excused from attendance.  That will not be seen as any discourtesy.  The Court will now adjourn.</w:t>
      </w:r>
    </w:p>
    <w:p w:rsidR="007C5CA7" w:rsidP="00173814" w:rsidRDefault="007C5CA7" w14:paraId="77B5D8E7" w14:textId="77777777">
      <w:pPr>
        <w:pStyle w:val="DCJContinue"/>
      </w:pPr>
    </w:p>
    <w:p w:rsidRPr="00324FF5" w:rsidR="007C5CA7" w:rsidP="00173814" w:rsidRDefault="007C5CA7" w14:paraId="164F04DA" w14:textId="77777777">
      <w:pPr>
        <w:pStyle w:val="DCJContinue"/>
      </w:pPr>
      <w:r>
        <w:t xml:space="preserve">ADJOURNED TO </w:t>
      </w:r>
      <w:r>
        <w:rPr>
          <w:rStyle w:val="AdjournedStyleChar"/>
        </w:rPr>
        <w:t>Friday 6 March 2026</w:t>
      </w:r>
    </w:p>
    <w:p w:rsidRPr="00AB6909" w:rsidR="00B1273C" w:rsidP="00AF205F" w:rsidRDefault="00B1273C" w14:paraId="483BBBF1" w14:textId="77777777">
      <w:pPr>
        <w:pStyle w:val="DCJContinue"/>
      </w:pPr>
    </w:p>
    <w:sectPr w:rsidRPr="00AB6909" w:rsidR="00B1273C" w:rsidSect="00004F86">
      <w:footerReference w:type="default" r:id="rId14"/>
      <w:type w:val="continuous"/>
      <w:pgSz w:w="11906" w:h="16838" w:code="9"/>
      <w:pgMar w:top="1418" w:right="1253" w:bottom="1412" w:left="2274" w:header="357" w:footer="851"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436" w:rsidP="00AB60E4" w:rsidRDefault="00715436" w14:paraId="4D7BAC35" w14:textId="77777777">
      <w:r>
        <w:separator/>
      </w:r>
    </w:p>
  </w:endnote>
  <w:endnote w:type="continuationSeparator" w:id="0">
    <w:p w:rsidR="00715436" w:rsidP="00AB60E4" w:rsidRDefault="00715436" w14:paraId="7DCDEC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24A65" w:rsidR="00AB60E4" w:rsidP="00956AA6" w:rsidRDefault="00537A48" w14:paraId="2861E8B5" w14:textId="02D177A1">
    <w:pPr>
      <w:pStyle w:val="Footer"/>
      <w:tabs>
        <w:tab w:val="clear" w:pos="4513"/>
        <w:tab w:val="clear" w:pos="9026"/>
        <w:tab w:val="center" w:pos="3686"/>
        <w:tab w:val="right" w:pos="8222"/>
      </w:tabs>
    </w:pPr>
    <w:r>
      <w:t>.</w:t>
    </w:r>
    <w:r w:rsidR="00436DAA">
      <w:fldChar w:fldCharType="begin"/>
    </w:r>
    <w:r w:rsidR="00436DAA">
      <w:instrText xml:space="preserve"> STYLEREF  "DatePick" \@ "dd/MM/yy" \* CHARFORMAT </w:instrText>
    </w:r>
    <w:r w:rsidR="00436DAA">
      <w:fldChar w:fldCharType="separate"/>
    </w:r>
    <w:r w:rsidR="009C536A">
      <w:rPr>
        <w:b/>
        <w:bCs/>
        <w:noProof/>
        <w:lang w:val="en-US"/>
      </w:rPr>
      <w:t>Error! No text of specified style in document.</w:t>
    </w:r>
    <w:r w:rsidR="00436DAA">
      <w:fldChar w:fldCharType="end"/>
    </w:r>
    <w:r>
      <w:tab/>
    </w:r>
    <w:r>
      <w:fldChar w:fldCharType="begin"/>
    </w:r>
    <w:r>
      <w:instrText xml:space="preserve"> PAGE   \* MERGEFORMAT </w:instrText>
    </w:r>
    <w:r>
      <w:fldChar w:fldCharType="separate"/>
    </w:r>
    <w:r>
      <w:rPr>
        <w:noProof/>
      </w:rPr>
      <w:t>1</w:t>
    </w:r>
    <w:r>
      <w:rPr>
        <w:noProof/>
      </w:rPr>
      <w:fldChar w:fldCharType="end"/>
    </w:r>
    <w:r>
      <w:tab/>
    </w:r>
    <w:r w:rsidR="00520011">
      <w:t>(WITHERS)</w:t>
    </w:r>
  </w:p>
  <w:p w:rsidRPr="00A24A65" w:rsidR="00A24A65" w:rsidP="00890FF7" w:rsidRDefault="00A24A65" w14:paraId="4F293D66" w14:textId="77777777">
    <w:pPr>
      <w:pStyle w:val="Footer"/>
      <w:tabs>
        <w:tab w:val="clear" w:pos="4513"/>
        <w:tab w:val="clear" w:pos="9026"/>
        <w:tab w:val="center" w:pos="3686"/>
        <w:tab w:val="right" w:pos="822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EB3" w:rsidP="00890FF7" w:rsidRDefault="008A1EB3" w14:paraId="1ABC1561" w14:textId="77777777">
    <w:pPr>
      <w:pStyle w:val="Footer"/>
      <w:tabs>
        <w:tab w:val="clear" w:pos="4513"/>
        <w:tab w:val="clear" w:pos="9026"/>
        <w:tab w:val="center" w:pos="3686"/>
        <w:tab w:val="right" w:pos="822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24A65" w:rsidR="00520011" w:rsidP="00956AA6" w:rsidRDefault="00520011" w14:paraId="265B8F2E" w14:textId="6237C5E3">
    <w:pPr>
      <w:pStyle w:val="Footer"/>
      <w:tabs>
        <w:tab w:val="clear" w:pos="4513"/>
        <w:tab w:val="clear" w:pos="9026"/>
        <w:tab w:val="center" w:pos="3686"/>
        <w:tab w:val="right" w:pos="8222"/>
      </w:tabs>
    </w:pPr>
    <w:r>
      <w:t>.</w:t>
    </w:r>
    <w:r>
      <w:fldChar w:fldCharType="begin"/>
    </w:r>
    <w:r>
      <w:instrText xml:space="preserve"> STYLEREF  "DatePick" \@ "dd/MM/yy" \* CHARFORMAT </w:instrText>
    </w:r>
    <w:r>
      <w:fldChar w:fldCharType="separate"/>
    </w:r>
    <w:r w:rsidR="009C536A">
      <w:rPr>
        <w:b/>
        <w:bCs/>
        <w:noProof/>
        <w:lang w:val="en-US"/>
      </w:rPr>
      <w:t>Error! No text of specified style in document.</w:t>
    </w:r>
    <w:r>
      <w:fldChar w:fldCharType="end"/>
    </w:r>
    <w:r>
      <w:tab/>
    </w:r>
    <w:r>
      <w:fldChar w:fldCharType="begin"/>
    </w:r>
    <w:r>
      <w:instrText xml:space="preserve"> PAGE   \* MERGEFORMAT </w:instrText>
    </w:r>
    <w:r>
      <w:fldChar w:fldCharType="separate"/>
    </w:r>
    <w:r>
      <w:rPr>
        <w:noProof/>
      </w:rPr>
      <w:t>1</w:t>
    </w:r>
    <w:r>
      <w:rPr>
        <w:noProof/>
      </w:rPr>
      <w:fldChar w:fldCharType="end"/>
    </w:r>
    <w:r>
      <w:tab/>
      <w:t>(HYNES)(SULAN)</w:t>
    </w:r>
  </w:p>
  <w:p w:rsidRPr="00A24A65" w:rsidR="00520011" w:rsidP="00890FF7" w:rsidRDefault="00520011" w14:paraId="21908C9D" w14:textId="77777777">
    <w:pPr>
      <w:pStyle w:val="Footer"/>
      <w:tabs>
        <w:tab w:val="clear" w:pos="4513"/>
        <w:tab w:val="clear" w:pos="9026"/>
        <w:tab w:val="center" w:pos="3686"/>
        <w:tab w:val="right" w:pos="822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24A65" w:rsidR="00520011" w:rsidP="00956AA6" w:rsidRDefault="00520011" w14:paraId="2D34C58F" w14:textId="050FA554">
    <w:pPr>
      <w:pStyle w:val="Footer"/>
      <w:tabs>
        <w:tab w:val="clear" w:pos="4513"/>
        <w:tab w:val="clear" w:pos="9026"/>
        <w:tab w:val="center" w:pos="3686"/>
        <w:tab w:val="right" w:pos="8222"/>
      </w:tabs>
    </w:pPr>
    <w:r>
      <w:t>.</w:t>
    </w:r>
    <w:r>
      <w:fldChar w:fldCharType="begin"/>
    </w:r>
    <w:r>
      <w:instrText xml:space="preserve"> STYLEREF  "DatePick" \@ "dd/MM/yy" \* CHARFORMAT </w:instrText>
    </w:r>
    <w:r>
      <w:fldChar w:fldCharType="separate"/>
    </w:r>
    <w:r w:rsidR="009C536A">
      <w:rPr>
        <w:b/>
        <w:bCs/>
        <w:noProof/>
        <w:lang w:val="en-US"/>
      </w:rPr>
      <w:t>Error! No text of specified style in document.</w:t>
    </w:r>
    <w:r>
      <w:fldChar w:fldCharType="end"/>
    </w:r>
    <w:r>
      <w:tab/>
    </w:r>
    <w:r>
      <w:fldChar w:fldCharType="begin"/>
    </w:r>
    <w:r>
      <w:instrText xml:space="preserve"> PAGE   \* MERGEFORMAT </w:instrText>
    </w:r>
    <w:r>
      <w:fldChar w:fldCharType="separate"/>
    </w:r>
    <w:r>
      <w:rPr>
        <w:noProof/>
      </w:rPr>
      <w:t>1</w:t>
    </w:r>
    <w:r>
      <w:rPr>
        <w:noProof/>
      </w:rPr>
      <w:fldChar w:fldCharType="end"/>
    </w:r>
    <w:r>
      <w:tab/>
      <w:t xml:space="preserve"> (SULAN)</w:t>
    </w:r>
  </w:p>
  <w:p w:rsidRPr="00A24A65" w:rsidR="00520011" w:rsidP="00890FF7" w:rsidRDefault="00520011" w14:paraId="5C8BD351" w14:textId="77777777">
    <w:pPr>
      <w:pStyle w:val="Footer"/>
      <w:tabs>
        <w:tab w:val="clear" w:pos="4513"/>
        <w:tab w:val="clear" w:pos="9026"/>
        <w:tab w:val="center" w:pos="3686"/>
        <w:tab w:val="right" w:pos="8222"/>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24A65" w:rsidR="00520011" w:rsidP="00956AA6" w:rsidRDefault="00520011" w14:paraId="3AA765F1" w14:textId="2388A98D">
    <w:pPr>
      <w:pStyle w:val="Footer"/>
      <w:tabs>
        <w:tab w:val="clear" w:pos="4513"/>
        <w:tab w:val="clear" w:pos="9026"/>
        <w:tab w:val="center" w:pos="3686"/>
        <w:tab w:val="right" w:pos="8222"/>
      </w:tabs>
    </w:pPr>
    <w:r>
      <w:t>.</w:t>
    </w:r>
    <w:r>
      <w:fldChar w:fldCharType="begin"/>
    </w:r>
    <w:r>
      <w:instrText xml:space="preserve"> STYLEREF  "DatePick" \@ "dd/MM/yy" \* CHARFORMAT </w:instrText>
    </w:r>
    <w:r>
      <w:fldChar w:fldCharType="separate"/>
    </w:r>
    <w:r w:rsidR="009C536A">
      <w:rPr>
        <w:b/>
        <w:bCs/>
        <w:noProof/>
        <w:lang w:val="en-US"/>
      </w:rPr>
      <w:t>Error! No text of specified style in document.</w:t>
    </w:r>
    <w:r>
      <w:fldChar w:fldCharType="end"/>
    </w:r>
    <w:r>
      <w:tab/>
    </w:r>
    <w:r>
      <w:fldChar w:fldCharType="begin"/>
    </w:r>
    <w:r>
      <w:instrText xml:space="preserve"> PAGE   \* MERGEFORMAT </w:instrText>
    </w:r>
    <w:r>
      <w:fldChar w:fldCharType="separate"/>
    </w:r>
    <w:r>
      <w:rPr>
        <w:noProof/>
      </w:rPr>
      <w:t>1</w:t>
    </w:r>
    <w:r>
      <w:rPr>
        <w:noProof/>
      </w:rPr>
      <w:fldChar w:fldCharType="end"/>
    </w:r>
    <w:r>
      <w:tab/>
      <w:t xml:space="preserve"> </w:t>
    </w:r>
  </w:p>
  <w:p w:rsidRPr="00A24A65" w:rsidR="00520011" w:rsidP="00890FF7" w:rsidRDefault="00520011" w14:paraId="42FE9522" w14:textId="77777777">
    <w:pPr>
      <w:pStyle w:val="Footer"/>
      <w:tabs>
        <w:tab w:val="clear" w:pos="4513"/>
        <w:tab w:val="clear" w:pos="9026"/>
        <w:tab w:val="center" w:pos="3686"/>
        <w:tab w:val="right" w:pos="82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436" w:rsidP="00AB60E4" w:rsidRDefault="00715436" w14:paraId="65A70E84" w14:textId="77777777">
      <w:r>
        <w:separator/>
      </w:r>
    </w:p>
  </w:footnote>
  <w:footnote w:type="continuationSeparator" w:id="0">
    <w:p w:rsidR="00715436" w:rsidP="00AB60E4" w:rsidRDefault="00715436" w14:paraId="6665CD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757" w:rsidP="004E6757" w:rsidRDefault="004E6757" w14:paraId="69FED214" w14:textId="77777777">
    <w:pPr>
      <w:pStyle w:val="Header"/>
      <w:tabs>
        <w:tab w:val="clear" w:pos="4513"/>
        <w:tab w:val="clear" w:pos="9026"/>
        <w:tab w:val="center" w:pos="3685"/>
        <w:tab w:val="right" w:pos="8220"/>
      </w:tabs>
      <w:spacing w:line="160" w:lineRule="atLeast"/>
      <w:ind w:left="-1418" w:right="-567"/>
      <w:jc w:val="center"/>
      <w:rPr>
        <w:rFonts w:ascii="Verdana" w:hAnsi="Verdana"/>
        <w:sz w:val="14"/>
      </w:rPr>
    </w:pPr>
    <w:r>
      <w:rPr>
        <w:rFonts w:ascii="Verdana" w:hAnsi="Verdana"/>
        <w:sz w:val="14"/>
      </w:rPr>
      <w:t>COPYRIGHT RESERVED</w:t>
    </w:r>
  </w:p>
  <w:p w:rsidR="004E6757" w:rsidP="004E6757" w:rsidRDefault="004E6757" w14:paraId="6FCE36E2" w14:textId="77777777">
    <w:pPr>
      <w:pStyle w:val="Header"/>
      <w:tabs>
        <w:tab w:val="clear" w:pos="4513"/>
        <w:tab w:val="clear" w:pos="9026"/>
        <w:tab w:val="center" w:pos="3685"/>
        <w:tab w:val="right" w:pos="8220"/>
      </w:tabs>
      <w:spacing w:line="160" w:lineRule="atLeast"/>
      <w:ind w:left="-1418"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rsidR="00890FF7" w:rsidP="00A71682" w:rsidRDefault="004E6757" w14:paraId="551C7256" w14:textId="0EA8FE74">
    <w:pPr>
      <w:pStyle w:val="Header"/>
      <w:tabs>
        <w:tab w:val="clear" w:pos="4513"/>
        <w:tab w:val="clear" w:pos="9026"/>
        <w:tab w:val="center" w:pos="3685"/>
        <w:tab w:val="right" w:pos="8222"/>
      </w:tabs>
    </w:pPr>
    <w:r>
      <w:t>APT</w:t>
    </w:r>
    <w:r w:rsidR="00A71682">
      <w:t>:SND</w:t>
    </w:r>
    <w:r w:rsidR="00A71682">
      <w:tab/>
    </w:r>
    <w:r w:rsidR="00A7168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B7F" w:rsidP="00976C84" w:rsidRDefault="00077B7F" w14:paraId="3F1993A3" w14:textId="77777777">
    <w:pPr>
      <w:pStyle w:val="Header"/>
      <w:tabs>
        <w:tab w:val="clear" w:pos="4513"/>
        <w:tab w:val="clear" w:pos="9026"/>
        <w:tab w:val="center" w:pos="3685"/>
        <w:tab w:val="right" w:pos="82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45" w:rsidP="00A71682" w:rsidRDefault="004C1C45" w14:paraId="7B56BB13" w14:textId="77777777">
    <w:pPr>
      <w:pStyle w:val="Header"/>
      <w:tabs>
        <w:tab w:val="clear" w:pos="4513"/>
        <w:tab w:val="clear" w:pos="9026"/>
        <w:tab w:val="center" w:pos="3685"/>
        <w:tab w:val="right" w:pos="8222"/>
      </w:tabs>
      <w:rPr>
        <w:rFonts w:ascii="Verdana" w:hAnsi="Verdana"/>
        <w:sz w:val="14"/>
      </w:rPr>
    </w:pPr>
  </w:p>
  <w:p w:rsidR="004C1C45" w:rsidP="00A71682" w:rsidRDefault="004C1C45" w14:paraId="5D3AC4A8" w14:textId="77777777">
    <w:pPr>
      <w:pStyle w:val="Header"/>
      <w:tabs>
        <w:tab w:val="clear" w:pos="4513"/>
        <w:tab w:val="clear" w:pos="9026"/>
        <w:tab w:val="center" w:pos="3685"/>
        <w:tab w:val="right" w:pos="8222"/>
      </w:tabs>
      <w:rPr>
        <w:rFonts w:ascii="Verdana" w:hAnsi="Verdana"/>
        <w:sz w:val="14"/>
      </w:rPr>
    </w:pPr>
  </w:p>
  <w:p w:rsidR="004C1C45" w:rsidP="00A71682" w:rsidRDefault="004C1C45" w14:paraId="10C48A01" w14:textId="77777777">
    <w:pPr>
      <w:pStyle w:val="Header"/>
      <w:tabs>
        <w:tab w:val="clear" w:pos="4513"/>
        <w:tab w:val="clear" w:pos="9026"/>
        <w:tab w:val="center" w:pos="3685"/>
        <w:tab w:val="right" w:pos="8222"/>
      </w:tabs>
      <w:rPr>
        <w:rFonts w:ascii="Verdana" w:hAnsi="Verdana"/>
        <w:sz w:val="14"/>
      </w:rPr>
    </w:pPr>
  </w:p>
  <w:p w:rsidR="004C1C45" w:rsidP="00A71682" w:rsidRDefault="004C1C45" w14:paraId="0E04ED3C" w14:textId="7819CC6E">
    <w:pPr>
      <w:pStyle w:val="Header"/>
      <w:tabs>
        <w:tab w:val="clear" w:pos="4513"/>
        <w:tab w:val="clear" w:pos="9026"/>
        <w:tab w:val="center" w:pos="3685"/>
        <w:tab w:val="right" w:pos="8222"/>
      </w:tabs>
    </w:pPr>
    <w:r>
      <w:t>APT:SND</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27C"/>
    <w:multiLevelType w:val="singleLevel"/>
    <w:tmpl w:val="C9C88E4A"/>
    <w:lvl w:ilvl="0">
      <w:start w:val="1"/>
      <w:numFmt w:val="decimal"/>
      <w:pStyle w:val="Question"/>
      <w:lvlText w:val="Q%1"/>
      <w:lvlJc w:val="left"/>
      <w:pPr>
        <w:tabs>
          <w:tab w:val="num" w:pos="850"/>
        </w:tabs>
        <w:ind w:left="850" w:hanging="850"/>
      </w:pPr>
      <w:rPr>
        <w:rFonts w:ascii="Times New Roman" w:hAnsi="Times New Roman" w:cs="Times New Roman" w:hint="default"/>
      </w:rPr>
    </w:lvl>
  </w:abstractNum>
  <w:abstractNum w:abstractNumId="1" w15:restartNumberingAfterBreak="0">
    <w:nsid w:val="258C383A"/>
    <w:multiLevelType w:val="multilevel"/>
    <w:tmpl w:val="71F07CFC"/>
    <w:lvl w:ilvl="0">
      <w:start w:val="1"/>
      <w:numFmt w:val="none"/>
      <w:pStyle w:val="DCJFirstQuoteQuestion"/>
      <w:lvlText w:val="“Q."/>
      <w:lvlJc w:val="left"/>
      <w:pPr>
        <w:tabs>
          <w:tab w:val="num" w:pos="1060"/>
        </w:tabs>
        <w:ind w:left="567" w:firstLine="0"/>
      </w:pPr>
      <w:rPr>
        <w:rFonts w:hint="default"/>
      </w:rPr>
    </w:lvl>
    <w:lvl w:ilvl="1">
      <w:start w:val="1"/>
      <w:numFmt w:val="none"/>
      <w:lvlRestart w:val="0"/>
      <w:pStyle w:val="DCJFirstQuoteAnswer"/>
      <w:lvlText w:val="“A."/>
      <w:lvlJc w:val="left"/>
      <w:pPr>
        <w:tabs>
          <w:tab w:val="num" w:pos="1060"/>
        </w:tabs>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673403B"/>
    <w:multiLevelType w:val="multilevel"/>
    <w:tmpl w:val="47145524"/>
    <w:lvl w:ilvl="0">
      <w:start w:val="1"/>
      <w:numFmt w:val="none"/>
      <w:pStyle w:val="DCJQuestion"/>
      <w:lvlText w:val="Q."/>
      <w:lvlJc w:val="left"/>
      <w:pPr>
        <w:tabs>
          <w:tab w:val="num" w:pos="391"/>
        </w:tabs>
        <w:ind w:left="0" w:firstLine="0"/>
      </w:pPr>
      <w:rPr>
        <w:rFonts w:ascii="Arial" w:hAnsi="Arial" w:hint="default"/>
        <w:sz w:val="24"/>
      </w:rPr>
    </w:lvl>
    <w:lvl w:ilvl="1">
      <w:start w:val="1"/>
      <w:numFmt w:val="none"/>
      <w:lvlRestart w:val="0"/>
      <w:pStyle w:val="DCJAnswer"/>
      <w:lvlText w:val="%2A."/>
      <w:lvlJc w:val="left"/>
      <w:pPr>
        <w:tabs>
          <w:tab w:val="num" w:pos="391"/>
        </w:tabs>
        <w:ind w:left="0" w:firstLine="0"/>
      </w:pPr>
      <w:rPr>
        <w:rFonts w:ascii="Arial" w:hAnsi="Arial"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452F00"/>
    <w:multiLevelType w:val="multilevel"/>
    <w:tmpl w:val="FB5CB6F6"/>
    <w:lvl w:ilvl="0">
      <w:start w:val="1"/>
      <w:numFmt w:val="none"/>
      <w:pStyle w:val="DCJQuoteQuestion"/>
      <w:lvlText w:val="Q."/>
      <w:lvlJc w:val="left"/>
      <w:pPr>
        <w:tabs>
          <w:tab w:val="num" w:pos="958"/>
        </w:tabs>
        <w:ind w:left="567" w:firstLine="0"/>
      </w:pPr>
      <w:rPr>
        <w:rFonts w:hint="default"/>
      </w:rPr>
    </w:lvl>
    <w:lvl w:ilvl="1">
      <w:start w:val="1"/>
      <w:numFmt w:val="none"/>
      <w:lvlRestart w:val="0"/>
      <w:pStyle w:val="DCJQuoteAnswer"/>
      <w:lvlText w:val="A."/>
      <w:lvlJc w:val="left"/>
      <w:pPr>
        <w:tabs>
          <w:tab w:val="num" w:pos="958"/>
        </w:tabs>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7656296">
    <w:abstractNumId w:val="0"/>
  </w:num>
  <w:num w:numId="2" w16cid:durableId="1335911578">
    <w:abstractNumId w:val="2"/>
  </w:num>
  <w:num w:numId="3" w16cid:durableId="746613285">
    <w:abstractNumId w:val="2"/>
  </w:num>
  <w:num w:numId="4" w16cid:durableId="1889218640">
    <w:abstractNumId w:val="2"/>
  </w:num>
  <w:num w:numId="5" w16cid:durableId="1697661385">
    <w:abstractNumId w:val="2"/>
  </w:num>
  <w:num w:numId="6" w16cid:durableId="189611245">
    <w:abstractNumId w:val="2"/>
  </w:num>
  <w:num w:numId="7" w16cid:durableId="2100052586">
    <w:abstractNumId w:val="2"/>
  </w:num>
  <w:num w:numId="8" w16cid:durableId="28188175">
    <w:abstractNumId w:val="3"/>
  </w:num>
  <w:num w:numId="9" w16cid:durableId="1567299086">
    <w:abstractNumId w:val="3"/>
  </w:num>
  <w:num w:numId="10" w16cid:durableId="1140808191">
    <w:abstractNumId w:val="1"/>
  </w:num>
  <w:num w:numId="11" w16cid:durableId="1487013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74"/>
    <w:rsid w:val="00003CB0"/>
    <w:rsid w:val="00004F86"/>
    <w:rsid w:val="000225DE"/>
    <w:rsid w:val="000241C9"/>
    <w:rsid w:val="00046196"/>
    <w:rsid w:val="00062BB1"/>
    <w:rsid w:val="0007627C"/>
    <w:rsid w:val="00077B7F"/>
    <w:rsid w:val="00081D05"/>
    <w:rsid w:val="00083A7B"/>
    <w:rsid w:val="000919A4"/>
    <w:rsid w:val="000964CE"/>
    <w:rsid w:val="000A7546"/>
    <w:rsid w:val="000C01EE"/>
    <w:rsid w:val="000C5040"/>
    <w:rsid w:val="000D2AF6"/>
    <w:rsid w:val="000E23F3"/>
    <w:rsid w:val="000F3A94"/>
    <w:rsid w:val="000F4248"/>
    <w:rsid w:val="0010434D"/>
    <w:rsid w:val="001176F6"/>
    <w:rsid w:val="00124DEC"/>
    <w:rsid w:val="0013261F"/>
    <w:rsid w:val="001357A2"/>
    <w:rsid w:val="00136128"/>
    <w:rsid w:val="00155FCD"/>
    <w:rsid w:val="00166A7F"/>
    <w:rsid w:val="0016765E"/>
    <w:rsid w:val="001A7F73"/>
    <w:rsid w:val="001C659E"/>
    <w:rsid w:val="001D7488"/>
    <w:rsid w:val="001F1DDD"/>
    <w:rsid w:val="001F231F"/>
    <w:rsid w:val="00215381"/>
    <w:rsid w:val="00217203"/>
    <w:rsid w:val="00221C02"/>
    <w:rsid w:val="002246CC"/>
    <w:rsid w:val="00233244"/>
    <w:rsid w:val="002710D6"/>
    <w:rsid w:val="00277AF9"/>
    <w:rsid w:val="002954CA"/>
    <w:rsid w:val="002A0164"/>
    <w:rsid w:val="002B4A32"/>
    <w:rsid w:val="002C7551"/>
    <w:rsid w:val="002D36A9"/>
    <w:rsid w:val="002E35D4"/>
    <w:rsid w:val="002F2451"/>
    <w:rsid w:val="002F33B9"/>
    <w:rsid w:val="003007B1"/>
    <w:rsid w:val="0034197A"/>
    <w:rsid w:val="00367CDB"/>
    <w:rsid w:val="0039307B"/>
    <w:rsid w:val="003A16C1"/>
    <w:rsid w:val="003B3A7C"/>
    <w:rsid w:val="003F38D2"/>
    <w:rsid w:val="00402D92"/>
    <w:rsid w:val="0042588E"/>
    <w:rsid w:val="00436DAA"/>
    <w:rsid w:val="00445165"/>
    <w:rsid w:val="0044616A"/>
    <w:rsid w:val="00487B63"/>
    <w:rsid w:val="004C1C45"/>
    <w:rsid w:val="004E5D61"/>
    <w:rsid w:val="004E6757"/>
    <w:rsid w:val="00500110"/>
    <w:rsid w:val="00520011"/>
    <w:rsid w:val="005223A0"/>
    <w:rsid w:val="00537A48"/>
    <w:rsid w:val="00552B0F"/>
    <w:rsid w:val="00557678"/>
    <w:rsid w:val="005A160C"/>
    <w:rsid w:val="005A1C26"/>
    <w:rsid w:val="005B0260"/>
    <w:rsid w:val="005C6934"/>
    <w:rsid w:val="005E233A"/>
    <w:rsid w:val="005E7B31"/>
    <w:rsid w:val="00604734"/>
    <w:rsid w:val="006062A7"/>
    <w:rsid w:val="0062365F"/>
    <w:rsid w:val="0065408B"/>
    <w:rsid w:val="006707C5"/>
    <w:rsid w:val="0067182D"/>
    <w:rsid w:val="006B32D3"/>
    <w:rsid w:val="006B4D49"/>
    <w:rsid w:val="006B6640"/>
    <w:rsid w:val="006C28B7"/>
    <w:rsid w:val="006C5EF8"/>
    <w:rsid w:val="006E028B"/>
    <w:rsid w:val="006E358D"/>
    <w:rsid w:val="006F17A3"/>
    <w:rsid w:val="00715436"/>
    <w:rsid w:val="007333D3"/>
    <w:rsid w:val="007379D2"/>
    <w:rsid w:val="00747672"/>
    <w:rsid w:val="00782A07"/>
    <w:rsid w:val="007843E2"/>
    <w:rsid w:val="00787A3B"/>
    <w:rsid w:val="00792288"/>
    <w:rsid w:val="007A671B"/>
    <w:rsid w:val="007A769E"/>
    <w:rsid w:val="007C0D81"/>
    <w:rsid w:val="007C26D0"/>
    <w:rsid w:val="007C5CA7"/>
    <w:rsid w:val="007E01F5"/>
    <w:rsid w:val="00806417"/>
    <w:rsid w:val="008127D1"/>
    <w:rsid w:val="00812AB9"/>
    <w:rsid w:val="008202A2"/>
    <w:rsid w:val="008227CE"/>
    <w:rsid w:val="008236EE"/>
    <w:rsid w:val="00824A2A"/>
    <w:rsid w:val="00826FE0"/>
    <w:rsid w:val="008314FE"/>
    <w:rsid w:val="00832820"/>
    <w:rsid w:val="008510D9"/>
    <w:rsid w:val="00867EF9"/>
    <w:rsid w:val="00890FF7"/>
    <w:rsid w:val="008A1EB3"/>
    <w:rsid w:val="008A4F0E"/>
    <w:rsid w:val="008D12FA"/>
    <w:rsid w:val="008D7707"/>
    <w:rsid w:val="008E21D8"/>
    <w:rsid w:val="0092275D"/>
    <w:rsid w:val="0092425D"/>
    <w:rsid w:val="009363B6"/>
    <w:rsid w:val="00941B1D"/>
    <w:rsid w:val="00953FFC"/>
    <w:rsid w:val="00956AA6"/>
    <w:rsid w:val="0097670D"/>
    <w:rsid w:val="00976C84"/>
    <w:rsid w:val="009910C8"/>
    <w:rsid w:val="0099654C"/>
    <w:rsid w:val="009A3A53"/>
    <w:rsid w:val="009C536A"/>
    <w:rsid w:val="009E13BD"/>
    <w:rsid w:val="009F0066"/>
    <w:rsid w:val="00A1379D"/>
    <w:rsid w:val="00A145AC"/>
    <w:rsid w:val="00A15A0C"/>
    <w:rsid w:val="00A23F7A"/>
    <w:rsid w:val="00A24A65"/>
    <w:rsid w:val="00A31086"/>
    <w:rsid w:val="00A4347C"/>
    <w:rsid w:val="00A4729D"/>
    <w:rsid w:val="00A63E11"/>
    <w:rsid w:val="00A71617"/>
    <w:rsid w:val="00A71682"/>
    <w:rsid w:val="00A71BFE"/>
    <w:rsid w:val="00A776E2"/>
    <w:rsid w:val="00AA2CBB"/>
    <w:rsid w:val="00AB50EB"/>
    <w:rsid w:val="00AB60E4"/>
    <w:rsid w:val="00AB6909"/>
    <w:rsid w:val="00AD7F82"/>
    <w:rsid w:val="00AE518B"/>
    <w:rsid w:val="00AF205F"/>
    <w:rsid w:val="00B010D2"/>
    <w:rsid w:val="00B1273C"/>
    <w:rsid w:val="00B20A71"/>
    <w:rsid w:val="00B22C59"/>
    <w:rsid w:val="00B47DF4"/>
    <w:rsid w:val="00B50845"/>
    <w:rsid w:val="00B51AC5"/>
    <w:rsid w:val="00B60A26"/>
    <w:rsid w:val="00B65D97"/>
    <w:rsid w:val="00B673D0"/>
    <w:rsid w:val="00B67F0C"/>
    <w:rsid w:val="00B70A76"/>
    <w:rsid w:val="00B73CD2"/>
    <w:rsid w:val="00B85C2B"/>
    <w:rsid w:val="00BA541E"/>
    <w:rsid w:val="00BC52BD"/>
    <w:rsid w:val="00BF2D4E"/>
    <w:rsid w:val="00C030B5"/>
    <w:rsid w:val="00C10E94"/>
    <w:rsid w:val="00C2337A"/>
    <w:rsid w:val="00C25FD0"/>
    <w:rsid w:val="00C33B2C"/>
    <w:rsid w:val="00C34650"/>
    <w:rsid w:val="00C357E0"/>
    <w:rsid w:val="00C557DC"/>
    <w:rsid w:val="00CA0660"/>
    <w:rsid w:val="00CB2718"/>
    <w:rsid w:val="00CC6A1E"/>
    <w:rsid w:val="00CD406F"/>
    <w:rsid w:val="00CE3D1A"/>
    <w:rsid w:val="00CF58B4"/>
    <w:rsid w:val="00D10C42"/>
    <w:rsid w:val="00D13574"/>
    <w:rsid w:val="00D13F1E"/>
    <w:rsid w:val="00D27721"/>
    <w:rsid w:val="00D40881"/>
    <w:rsid w:val="00D4221A"/>
    <w:rsid w:val="00D45164"/>
    <w:rsid w:val="00D462EB"/>
    <w:rsid w:val="00D47626"/>
    <w:rsid w:val="00D54511"/>
    <w:rsid w:val="00D57955"/>
    <w:rsid w:val="00D650DC"/>
    <w:rsid w:val="00D72E58"/>
    <w:rsid w:val="00D810F1"/>
    <w:rsid w:val="00D9759D"/>
    <w:rsid w:val="00DD7DE6"/>
    <w:rsid w:val="00DE7266"/>
    <w:rsid w:val="00E074F3"/>
    <w:rsid w:val="00E16803"/>
    <w:rsid w:val="00E41C39"/>
    <w:rsid w:val="00E42E5C"/>
    <w:rsid w:val="00E462BE"/>
    <w:rsid w:val="00E57F67"/>
    <w:rsid w:val="00E66FC7"/>
    <w:rsid w:val="00E6749C"/>
    <w:rsid w:val="00E67E23"/>
    <w:rsid w:val="00E84DFB"/>
    <w:rsid w:val="00EB1434"/>
    <w:rsid w:val="00EB204B"/>
    <w:rsid w:val="00EF2549"/>
    <w:rsid w:val="00F1443C"/>
    <w:rsid w:val="00F55F53"/>
    <w:rsid w:val="00F74415"/>
    <w:rsid w:val="00F850D6"/>
    <w:rsid w:val="00F93CE3"/>
    <w:rsid w:val="00FC3112"/>
    <w:rsid w:val="00FD2377"/>
    <w:rsid w:val="00FE40A3"/>
    <w:rsid w:val="00FE671B"/>
    <w:rsid w:val="00FF03F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5FBB"/>
  <w15:chartTrackingRefBased/>
  <w15:docId w15:val="{DF0912E2-172E-408D-8BFE-B8A664AF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3112"/>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Question" w:customStyle="1">
    <w:name w:val="Question"/>
    <w:basedOn w:val="Normal"/>
    <w:next w:val="Normal"/>
    <w:autoRedefine/>
    <w:rsid w:val="002E35D4"/>
    <w:pPr>
      <w:numPr>
        <w:numId w:val="1"/>
      </w:numPr>
      <w:tabs>
        <w:tab w:val="clear" w:pos="850"/>
        <w:tab w:val="left" w:pos="1616"/>
      </w:tabs>
      <w:spacing w:line="360" w:lineRule="auto"/>
      <w:jc w:val="both"/>
    </w:pPr>
    <w:rPr>
      <w:rFonts w:eastAsia="Times New Roman"/>
      <w:lang w:eastAsia="en-AU"/>
    </w:rPr>
  </w:style>
  <w:style w:type="paragraph" w:styleId="Header">
    <w:name w:val="header"/>
    <w:basedOn w:val="Normal"/>
    <w:link w:val="HeaderChar"/>
    <w:unhideWhenUsed/>
    <w:rsid w:val="00AB60E4"/>
    <w:pPr>
      <w:tabs>
        <w:tab w:val="center" w:pos="4513"/>
        <w:tab w:val="right" w:pos="9026"/>
      </w:tabs>
    </w:pPr>
  </w:style>
  <w:style w:type="character" w:styleId="HeaderChar" w:customStyle="1">
    <w:name w:val="Header Char"/>
    <w:basedOn w:val="DefaultParagraphFont"/>
    <w:link w:val="Header"/>
    <w:rsid w:val="00AB60E4"/>
  </w:style>
  <w:style w:type="paragraph" w:styleId="Footer">
    <w:name w:val="footer"/>
    <w:basedOn w:val="Normal"/>
    <w:link w:val="FooterChar"/>
    <w:uiPriority w:val="99"/>
    <w:unhideWhenUsed/>
    <w:rsid w:val="00AB60E4"/>
    <w:pPr>
      <w:tabs>
        <w:tab w:val="center" w:pos="4513"/>
        <w:tab w:val="right" w:pos="9026"/>
      </w:tabs>
    </w:pPr>
  </w:style>
  <w:style w:type="character" w:styleId="FooterChar" w:customStyle="1">
    <w:name w:val="Footer Char"/>
    <w:basedOn w:val="DefaultParagraphFont"/>
    <w:link w:val="Footer"/>
    <w:uiPriority w:val="99"/>
    <w:rsid w:val="00AB60E4"/>
  </w:style>
  <w:style w:type="character" w:styleId="LineNumber">
    <w:name w:val="line number"/>
    <w:basedOn w:val="DefaultParagraphFont"/>
    <w:uiPriority w:val="99"/>
    <w:semiHidden/>
    <w:unhideWhenUsed/>
    <w:rsid w:val="00A24A65"/>
  </w:style>
  <w:style w:type="paragraph" w:styleId="DCJContinue" w:customStyle="1">
    <w:name w:val="DCJ Continue"/>
    <w:basedOn w:val="Normal"/>
    <w:link w:val="DCJContinueChar"/>
    <w:qFormat/>
    <w:rsid w:val="00D13F1E"/>
    <w:pPr>
      <w:tabs>
        <w:tab w:val="left" w:pos="567"/>
      </w:tabs>
    </w:pPr>
  </w:style>
  <w:style w:type="character" w:styleId="DCJContinueChar" w:customStyle="1">
    <w:name w:val="DCJ Continue Char"/>
    <w:basedOn w:val="DefaultParagraphFont"/>
    <w:link w:val="DCJContinue"/>
    <w:rsid w:val="00D13F1E"/>
  </w:style>
  <w:style w:type="paragraph" w:styleId="DCJQuoteIndent" w:customStyle="1">
    <w:name w:val="DCJ Quote Indent"/>
    <w:basedOn w:val="DCJContinue"/>
    <w:next w:val="DCJContinue"/>
    <w:link w:val="DCJQuoteIndentChar"/>
    <w:qFormat/>
    <w:rsid w:val="006F17A3"/>
    <w:pPr>
      <w:ind w:left="567"/>
    </w:pPr>
  </w:style>
  <w:style w:type="character" w:styleId="DCJQuoteIndentChar" w:customStyle="1">
    <w:name w:val="DCJ Quote Indent Char"/>
    <w:basedOn w:val="DCJContinueChar"/>
    <w:link w:val="DCJQuoteIndent"/>
    <w:rsid w:val="006F17A3"/>
  </w:style>
  <w:style w:type="paragraph" w:styleId="DCJAnswer" w:customStyle="1">
    <w:name w:val="DCJ Answer"/>
    <w:basedOn w:val="DCJContinue"/>
    <w:next w:val="DCJSpaceQA"/>
    <w:link w:val="DCJAnswerChar"/>
    <w:qFormat/>
    <w:rsid w:val="00D13F1E"/>
    <w:pPr>
      <w:numPr>
        <w:ilvl w:val="1"/>
        <w:numId w:val="7"/>
      </w:numPr>
    </w:pPr>
  </w:style>
  <w:style w:type="character" w:styleId="DCJAnswerChar" w:customStyle="1">
    <w:name w:val="DCJ Answer Char"/>
    <w:basedOn w:val="DefaultParagraphFont"/>
    <w:link w:val="DCJAnswer"/>
    <w:rsid w:val="00D13F1E"/>
  </w:style>
  <w:style w:type="paragraph" w:styleId="DCJQuestion" w:customStyle="1">
    <w:name w:val="DCJ Question"/>
    <w:basedOn w:val="DCJContinue"/>
    <w:next w:val="DCJAnswer"/>
    <w:link w:val="DCJQuestionChar"/>
    <w:qFormat/>
    <w:rsid w:val="00D13F1E"/>
    <w:pPr>
      <w:numPr>
        <w:numId w:val="7"/>
      </w:numPr>
    </w:pPr>
  </w:style>
  <w:style w:type="character" w:styleId="DCJQuestionChar" w:customStyle="1">
    <w:name w:val="DCJ Question Char"/>
    <w:basedOn w:val="DefaultParagraphFont"/>
    <w:link w:val="DCJQuestion"/>
    <w:rsid w:val="00D13F1E"/>
  </w:style>
  <w:style w:type="paragraph" w:styleId="gbp" w:customStyle="1">
    <w:name w:val="gbp"/>
    <w:rsid w:val="00155FCD"/>
    <w:pPr>
      <w:suppressAutoHyphens/>
      <w:autoSpaceDN w:val="0"/>
      <w:spacing w:after="0" w:line="300" w:lineRule="exact"/>
    </w:pPr>
    <w:rPr>
      <w:rFonts w:ascii="Times New Roman" w:hAnsi="Times New Roman" w:eastAsia="Calibri" w:cs="Times New Roman"/>
      <w:szCs w:val="22"/>
    </w:rPr>
  </w:style>
  <w:style w:type="paragraph" w:styleId="DCJSpaceQA" w:customStyle="1">
    <w:name w:val="DCJ Space Q&amp;A"/>
    <w:basedOn w:val="DCJContinue"/>
    <w:next w:val="DCJQuestion"/>
    <w:link w:val="DCJSpaceQAChar"/>
    <w:qFormat/>
    <w:rsid w:val="002F33B9"/>
  </w:style>
  <w:style w:type="character" w:styleId="DCJSpaceQAChar" w:customStyle="1">
    <w:name w:val="DCJ Space Q&amp;A Char"/>
    <w:basedOn w:val="DCJContinueChar"/>
    <w:link w:val="DCJSpaceQA"/>
    <w:rsid w:val="002F33B9"/>
  </w:style>
  <w:style w:type="paragraph" w:styleId="DCJQuoteAnswer" w:customStyle="1">
    <w:name w:val="DCJ Quote Answer"/>
    <w:basedOn w:val="DCJQuoteIndent"/>
    <w:next w:val="DCJQuoteSpaceQA"/>
    <w:link w:val="DCJQuoteAnswerChar"/>
    <w:qFormat/>
    <w:rsid w:val="008A4F0E"/>
    <w:pPr>
      <w:numPr>
        <w:ilvl w:val="1"/>
        <w:numId w:val="9"/>
      </w:numPr>
    </w:pPr>
  </w:style>
  <w:style w:type="character" w:styleId="DCJQuoteAnswerChar" w:customStyle="1">
    <w:name w:val="DCJ Quote Answer Char"/>
    <w:basedOn w:val="DCJQuoteIndentChar"/>
    <w:link w:val="DCJQuoteAnswer"/>
    <w:rsid w:val="008A4F0E"/>
  </w:style>
  <w:style w:type="paragraph" w:styleId="DCJQuoteQuestion" w:customStyle="1">
    <w:name w:val="DCJ Quote Question"/>
    <w:basedOn w:val="DCJQuoteIndent"/>
    <w:next w:val="DCJQuoteAnswer"/>
    <w:link w:val="DCJQuoteQuestionChar"/>
    <w:qFormat/>
    <w:rsid w:val="008A4F0E"/>
    <w:pPr>
      <w:numPr>
        <w:numId w:val="9"/>
      </w:numPr>
      <w:tabs>
        <w:tab w:val="clear" w:pos="567"/>
      </w:tabs>
    </w:pPr>
  </w:style>
  <w:style w:type="character" w:styleId="DCJQuoteQuestionChar" w:customStyle="1">
    <w:name w:val="DCJ Quote Question Char"/>
    <w:basedOn w:val="DCJQuoteIndentChar"/>
    <w:link w:val="DCJQuoteQuestion"/>
    <w:rsid w:val="008A4F0E"/>
  </w:style>
  <w:style w:type="paragraph" w:styleId="DCJQuoteSpaceQA" w:customStyle="1">
    <w:name w:val="DCJ Quote Space Q&amp;A"/>
    <w:basedOn w:val="DCJQuoteIndent"/>
    <w:next w:val="DCJQuoteQuestion"/>
    <w:link w:val="DCJQuoteSpaceQAChar"/>
    <w:qFormat/>
    <w:rsid w:val="008A4F0E"/>
  </w:style>
  <w:style w:type="character" w:styleId="DCJQuoteSpaceQAChar" w:customStyle="1">
    <w:name w:val="DCJ Quote Space Q&amp;A Char"/>
    <w:basedOn w:val="DCJQuoteIndentChar"/>
    <w:link w:val="DCJQuoteSpaceQA"/>
    <w:rsid w:val="008A4F0E"/>
  </w:style>
  <w:style w:type="paragraph" w:styleId="DCJFirstQuoteAnswer" w:customStyle="1">
    <w:name w:val="DCJ First Quote Answer"/>
    <w:basedOn w:val="DCJQuoteIndent"/>
    <w:next w:val="DCJQuoteSpaceQA"/>
    <w:link w:val="DCJFirstQuoteAnswerChar"/>
    <w:qFormat/>
    <w:rsid w:val="00E6749C"/>
    <w:pPr>
      <w:numPr>
        <w:ilvl w:val="1"/>
        <w:numId w:val="11"/>
      </w:numPr>
    </w:pPr>
  </w:style>
  <w:style w:type="character" w:styleId="DCJFirstQuoteAnswerChar" w:customStyle="1">
    <w:name w:val="DCJ First Quote Answer Char"/>
    <w:basedOn w:val="DCJQuoteIndentChar"/>
    <w:link w:val="DCJFirstQuoteAnswer"/>
    <w:rsid w:val="00E6749C"/>
  </w:style>
  <w:style w:type="paragraph" w:styleId="DCJFirstQuoteQuestion" w:customStyle="1">
    <w:name w:val="DCJ First Quote Question"/>
    <w:basedOn w:val="DCJQuoteIndent"/>
    <w:next w:val="DCJQuoteAnswer"/>
    <w:link w:val="DCJFirstQuoteQuestionChar"/>
    <w:qFormat/>
    <w:rsid w:val="00E6749C"/>
    <w:pPr>
      <w:numPr>
        <w:numId w:val="11"/>
      </w:numPr>
    </w:pPr>
  </w:style>
  <w:style w:type="character" w:styleId="DCJFirstQuoteQuestionChar" w:customStyle="1">
    <w:name w:val="DCJ First Quote Question Char"/>
    <w:basedOn w:val="DCJQuoteIndentChar"/>
    <w:link w:val="DCJFirstQuoteQuestion"/>
    <w:rsid w:val="00E6749C"/>
  </w:style>
  <w:style w:type="paragraph" w:styleId="DatePick" w:customStyle="1">
    <w:name w:val="DatePick"/>
    <w:basedOn w:val="DCJContinue"/>
    <w:next w:val="DCJContinue"/>
    <w:link w:val="DatePickChar"/>
    <w:qFormat/>
    <w:rsid w:val="00436DAA"/>
    <w:rPr>
      <w:caps/>
    </w:rPr>
  </w:style>
  <w:style w:type="character" w:styleId="DatePickChar" w:customStyle="1">
    <w:name w:val="DatePick Char"/>
    <w:basedOn w:val="DCJContinueChar"/>
    <w:link w:val="DatePick"/>
    <w:rsid w:val="00436DAA"/>
    <w:rPr>
      <w:caps/>
    </w:rPr>
  </w:style>
  <w:style w:type="character" w:styleId="PlaceholderText">
    <w:name w:val="Placeholder Text"/>
    <w:basedOn w:val="DefaultParagraphFont"/>
    <w:uiPriority w:val="99"/>
    <w:semiHidden/>
    <w:rsid w:val="00C25FD0"/>
    <w:rPr>
      <w:color w:val="666666"/>
    </w:rPr>
  </w:style>
  <w:style w:type="paragraph" w:styleId="DCJDraft" w:customStyle="1">
    <w:name w:val="DCJ Draft"/>
    <w:basedOn w:val="DCJContinue"/>
    <w:link w:val="DCJDraftChar"/>
    <w:qFormat/>
    <w:rsid w:val="000C01EE"/>
    <w:pPr>
      <w:spacing w:line="480" w:lineRule="auto"/>
    </w:pPr>
  </w:style>
  <w:style w:type="character" w:styleId="DCJDraftChar" w:customStyle="1">
    <w:name w:val="DCJ Draft Char"/>
    <w:basedOn w:val="DCJContinueChar"/>
    <w:link w:val="DCJDraft"/>
    <w:rsid w:val="000C01EE"/>
  </w:style>
  <w:style w:type="paragraph" w:styleId="DCJDraftList" w:customStyle="1">
    <w:name w:val="DCJ Draft List"/>
    <w:basedOn w:val="DCJDraft"/>
    <w:link w:val="DCJDraftListChar"/>
    <w:qFormat/>
    <w:rsid w:val="000C01EE"/>
    <w:pPr>
      <w:ind w:left="567"/>
    </w:pPr>
  </w:style>
  <w:style w:type="character" w:styleId="DCJDraftListChar" w:customStyle="1">
    <w:name w:val="DCJ Draft List Char"/>
    <w:basedOn w:val="DCJDraftChar"/>
    <w:link w:val="DCJDraftList"/>
    <w:rsid w:val="000C01EE"/>
  </w:style>
  <w:style w:type="paragraph" w:styleId="AdjournedStyle" w:customStyle="1">
    <w:name w:val="Adjourned Style"/>
    <w:basedOn w:val="DCJContinue"/>
    <w:next w:val="DCJContinue"/>
    <w:link w:val="AdjournedStyleChar"/>
    <w:qFormat/>
    <w:rsid w:val="0097670D"/>
    <w:rPr>
      <w:caps/>
    </w:rPr>
  </w:style>
  <w:style w:type="character" w:styleId="AdjournedStyleChar" w:customStyle="1">
    <w:name w:val="Adjourned Style Char"/>
    <w:basedOn w:val="DCJContinueChar"/>
    <w:link w:val="AdjournedStyle"/>
    <w:rsid w:val="0097670D"/>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D7EF3CA8814D108FF3E217C0596ECB"/>
        <w:category>
          <w:name w:val="General"/>
          <w:gallery w:val="placeholder"/>
        </w:category>
        <w:types>
          <w:type w:val="bbPlcHdr"/>
        </w:types>
        <w:behaviors>
          <w:behavior w:val="content"/>
        </w:behaviors>
        <w:guid w:val="{AD5EEB0C-9C09-4554-984A-7C126BF3EE7E}"/>
      </w:docPartPr>
      <w:docPartBody>
        <w:p w:rsidR="00CA5D61" w:rsidRDefault="00CA5D61" w:rsidP="00CA5D61">
          <w:pPr>
            <w:pStyle w:val="ACD7EF3CA8814D108FF3E217C0596ECB"/>
          </w:pPr>
          <w:r w:rsidRPr="000534F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61"/>
    <w:rsid w:val="002974C9"/>
    <w:rsid w:val="006C5EF8"/>
    <w:rsid w:val="009758E2"/>
    <w:rsid w:val="009A3A53"/>
    <w:rsid w:val="00A31086"/>
    <w:rsid w:val="00CA5D61"/>
    <w:rsid w:val="00CC6A1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D61"/>
    <w:rPr>
      <w:color w:val="666666"/>
    </w:rPr>
  </w:style>
  <w:style w:type="paragraph" w:customStyle="1" w:styleId="ACD7EF3CA8814D108FF3E217C0596ECB">
    <w:name w:val="ACD7EF3CA8814D108FF3E217C0596ECB"/>
    <w:rsid w:val="00CA5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8C571AB174D41A9EF81162169E104" ma:contentTypeVersion="14" ma:contentTypeDescription="Create a new document." ma:contentTypeScope="" ma:versionID="6bdbfcd56d46de026672ad811b1981af">
  <xsd:schema xmlns:xsd="http://www.w3.org/2001/XMLSchema" xmlns:xs="http://www.w3.org/2001/XMLSchema" xmlns:p="http://schemas.microsoft.com/office/2006/metadata/properties" xmlns:ns2="7d30ab5a-8413-47f9-b8ba-9b909cdf3963" xmlns:ns3="90bead03-4b65-45c2-bad2-326b45444288" targetNamespace="http://schemas.microsoft.com/office/2006/metadata/properties" ma:root="true" ma:fieldsID="45fa980a455cd84164ede9ef6ec5d373" ns2:_="" ns3:_="">
    <xsd:import namespace="7d30ab5a-8413-47f9-b8ba-9b909cdf3963"/>
    <xsd:import namespace="90bead03-4b65-45c2-bad2-326b45444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0ab5a-8413-47f9-b8ba-9b909cdf3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1043e-0094-4454-adca-72365d1cd61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ead03-4b65-45c2-bad2-326b454442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fce083-6bf2-4f5d-bfc8-adc97b321f58}" ma:internalName="TaxCatchAll" ma:showField="CatchAllData" ma:web="90bead03-4b65-45c2-bad2-326b45444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bead03-4b65-45c2-bad2-326b45444288" xsi:nil="true"/>
    <lcf76f155ced4ddcb4097134ff3c332f xmlns="7d30ab5a-8413-47f9-b8ba-9b909cdf39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A36DDA-BA38-4828-9FFD-21A853C7FA61}"/>
</file>

<file path=customXml/itemProps2.xml><?xml version="1.0" encoding="utf-8"?>
<ds:datastoreItem xmlns:ds="http://schemas.openxmlformats.org/officeDocument/2006/customXml" ds:itemID="{70B0077F-D7F5-4391-B058-F8465F810627}"/>
</file>

<file path=customXml/itemProps3.xml><?xml version="1.0" encoding="utf-8"?>
<ds:datastoreItem xmlns:ds="http://schemas.openxmlformats.org/officeDocument/2006/customXml" ds:itemID="{10E15824-B1F1-431C-95C4-18DE0C2851C0}"/>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1900-01-01T05:00:00Z</dcterms:created>
  <dcterms:modified xsi:type="dcterms:W3CDTF">2026-03-11T05:04:19Z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0x010100C698C571AB174D41A9EF81162169E104</vt:lpwstr>
  </property>
</Properties>
</file>